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BA1" w:rsidRDefault="00A30BA1" w:rsidP="00A30BA1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</w:p>
    <w:p w:rsidR="00A30BA1" w:rsidRDefault="00A30BA1" w:rsidP="00A30BA1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</w:p>
    <w:p w:rsidR="00A30BA1" w:rsidRPr="00A30BA1" w:rsidRDefault="00A30BA1" w:rsidP="00A30BA1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  <w:lang w:eastAsia="fr-FR"/>
        </w:rPr>
      </w:pPr>
      <w:r w:rsidRPr="00A30BA1">
        <w:rPr>
          <w:rFonts w:asciiTheme="majorBidi" w:eastAsia="Times New Roman" w:hAnsiTheme="majorBidi" w:cstheme="majorBidi"/>
          <w:b/>
          <w:bCs/>
          <w:sz w:val="32"/>
          <w:szCs w:val="32"/>
          <w:lang w:eastAsia="fr-FR"/>
        </w:rPr>
        <w:t>Faire de la satisfaction des étudiants un enjeu pour l’UBMA</w:t>
      </w:r>
    </w:p>
    <w:p w:rsidR="00A30BA1" w:rsidRDefault="00A30BA1" w:rsidP="00A30BA1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A30BA1" w:rsidRPr="00BB7473" w:rsidRDefault="00A30BA1" w:rsidP="00A30BA1">
      <w:pPr>
        <w:jc w:val="both"/>
        <w:rPr>
          <w:rFonts w:asciiTheme="majorBidi" w:hAnsiTheme="majorBidi" w:cstheme="majorBidi"/>
          <w:sz w:val="24"/>
          <w:szCs w:val="24"/>
        </w:rPr>
      </w:pPr>
      <w:r w:rsidRPr="00BB7473">
        <w:rPr>
          <w:rFonts w:asciiTheme="majorBidi" w:hAnsiTheme="majorBidi" w:cstheme="majorBidi"/>
          <w:sz w:val="24"/>
          <w:szCs w:val="24"/>
        </w:rPr>
        <w:t>La satisfaction clients est devenue aujourd’hui un enjeu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BB7473">
        <w:rPr>
          <w:rFonts w:asciiTheme="majorBidi" w:hAnsiTheme="majorBidi" w:cstheme="majorBidi"/>
          <w:sz w:val="24"/>
          <w:szCs w:val="24"/>
        </w:rPr>
        <w:t>majeur</w:t>
      </w:r>
      <w:r>
        <w:rPr>
          <w:rFonts w:asciiTheme="majorBidi" w:hAnsiTheme="majorBidi" w:cstheme="majorBidi"/>
          <w:sz w:val="24"/>
          <w:szCs w:val="24"/>
        </w:rPr>
        <w:t xml:space="preserve">. </w:t>
      </w:r>
      <w:r w:rsidRPr="00A3540C">
        <w:rPr>
          <w:rFonts w:asciiTheme="majorBidi" w:eastAsia="Times New Roman" w:hAnsiTheme="majorBidi" w:cstheme="majorBidi"/>
          <w:sz w:val="24"/>
          <w:szCs w:val="24"/>
          <w:lang w:eastAsia="fr-FR"/>
        </w:rPr>
        <w:t>On définit la satisfaction comme étant l’opinion d’un client résultant de l’écart entre sa perception du produit (Résultat d’un processus) consommé et ses attentes.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Tenant</w:t>
      </w:r>
      <w:r w:rsidRPr="00A3540C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une place importante dans le management de la qualité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à l’université Badji Mokhtar Annaba (UBMA), u</w:t>
      </w:r>
      <w:r w:rsidRPr="00A3540C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ne enquête satisfaction 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>client (nouveaux bacheliers juste à la fin du processus d’inscription), a été menée</w:t>
      </w:r>
      <w:r w:rsidRPr="00A3540C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. </w:t>
      </w:r>
      <w:r>
        <w:rPr>
          <w:rFonts w:asciiTheme="majorBidi" w:hAnsiTheme="majorBidi" w:cstheme="majorBidi"/>
          <w:sz w:val="24"/>
          <w:szCs w:val="24"/>
        </w:rPr>
        <w:t xml:space="preserve">L’UBMA compte développer, à cet effet, </w:t>
      </w:r>
      <w:r w:rsidRPr="00BB7473">
        <w:rPr>
          <w:rFonts w:asciiTheme="majorBidi" w:hAnsiTheme="majorBidi" w:cstheme="majorBidi"/>
          <w:sz w:val="24"/>
          <w:szCs w:val="24"/>
        </w:rPr>
        <w:t>toute une gamme de bonnes pratiques pour gérer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BB7473">
        <w:rPr>
          <w:rFonts w:asciiTheme="majorBidi" w:hAnsiTheme="majorBidi" w:cstheme="majorBidi"/>
          <w:sz w:val="24"/>
          <w:szCs w:val="24"/>
        </w:rPr>
        <w:t>efficacement les insatisfactions et assurer la qualité de</w:t>
      </w:r>
      <w:r>
        <w:rPr>
          <w:rFonts w:asciiTheme="majorBidi" w:hAnsiTheme="majorBidi" w:cstheme="majorBidi"/>
          <w:sz w:val="24"/>
          <w:szCs w:val="24"/>
        </w:rPr>
        <w:t xml:space="preserve"> la relation avec ses</w:t>
      </w:r>
      <w:r w:rsidRPr="00BB7473">
        <w:rPr>
          <w:rFonts w:asciiTheme="majorBidi" w:hAnsiTheme="majorBidi" w:cstheme="majorBidi"/>
          <w:sz w:val="24"/>
          <w:szCs w:val="24"/>
        </w:rPr>
        <w:t xml:space="preserve"> clients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A30BA1" w:rsidRDefault="00A30BA1" w:rsidP="00A30BA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Les o</w:t>
      </w:r>
      <w:r w:rsidRPr="00A3540C">
        <w:rPr>
          <w:rFonts w:asciiTheme="majorBidi" w:hAnsiTheme="majorBidi" w:cstheme="majorBidi"/>
          <w:sz w:val="24"/>
          <w:szCs w:val="24"/>
        </w:rPr>
        <w:t>bjectifs de cette enquête</w:t>
      </w:r>
      <w:r>
        <w:rPr>
          <w:rFonts w:asciiTheme="majorBidi" w:hAnsiTheme="majorBidi" w:cstheme="majorBidi"/>
          <w:sz w:val="24"/>
          <w:szCs w:val="24"/>
        </w:rPr>
        <w:t xml:space="preserve"> élaborée entre le 02 et le7 août 2014,</w:t>
      </w:r>
      <w:r w:rsidRPr="00A3540C">
        <w:rPr>
          <w:rFonts w:asciiTheme="majorBidi" w:hAnsiTheme="majorBidi" w:cstheme="majorBidi"/>
          <w:sz w:val="24"/>
          <w:szCs w:val="24"/>
        </w:rPr>
        <w:t xml:space="preserve"> sont :</w:t>
      </w:r>
    </w:p>
    <w:p w:rsidR="00A30BA1" w:rsidRPr="000D13CC" w:rsidRDefault="00A30BA1" w:rsidP="00A30BA1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A30BA1" w:rsidRPr="00B318FB" w:rsidRDefault="00A30BA1" w:rsidP="00A30BA1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3540C">
        <w:rPr>
          <w:rFonts w:asciiTheme="majorBidi" w:eastAsia="Times New Roman" w:hAnsiTheme="majorBidi" w:cstheme="majorBidi"/>
          <w:sz w:val="24"/>
          <w:szCs w:val="24"/>
          <w:lang w:eastAsia="fr-FR"/>
        </w:rPr>
        <w:t>Mesu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>rer les niveaux de satisfaction et</w:t>
      </w:r>
      <w:r w:rsidRPr="00A3540C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la 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>performance de l’organisation ;</w:t>
      </w:r>
    </w:p>
    <w:p w:rsidR="00A30BA1" w:rsidRPr="00A3540C" w:rsidRDefault="00A30BA1" w:rsidP="00A30BA1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3540C">
        <w:rPr>
          <w:rFonts w:asciiTheme="majorBidi" w:eastAsia="Times New Roman" w:hAnsiTheme="majorBidi" w:cstheme="majorBidi"/>
          <w:sz w:val="24"/>
          <w:szCs w:val="24"/>
          <w:lang w:eastAsia="fr-FR"/>
        </w:rPr>
        <w:t>Connaître  les motifs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d’insatisfaction des étudiants une fois  inscrits à l’université ;</w:t>
      </w:r>
    </w:p>
    <w:p w:rsidR="00A30BA1" w:rsidRPr="00A3540C" w:rsidRDefault="00A30BA1" w:rsidP="00A30BA1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A3540C">
        <w:rPr>
          <w:rFonts w:asciiTheme="majorBidi" w:hAnsiTheme="majorBidi" w:cstheme="majorBidi"/>
          <w:sz w:val="24"/>
          <w:szCs w:val="24"/>
        </w:rPr>
        <w:t>Solliciter des id</w:t>
      </w:r>
      <w:r>
        <w:rPr>
          <w:rFonts w:asciiTheme="majorBidi" w:hAnsiTheme="majorBidi" w:cstheme="majorBidi"/>
          <w:sz w:val="24"/>
          <w:szCs w:val="24"/>
        </w:rPr>
        <w:t>ées sur des points d’amélioration ;</w:t>
      </w:r>
    </w:p>
    <w:p w:rsidR="00A30BA1" w:rsidRDefault="00A30BA1" w:rsidP="00A30BA1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A3540C">
        <w:rPr>
          <w:rFonts w:asciiTheme="majorBidi" w:hAnsiTheme="majorBidi" w:cstheme="majorBidi"/>
          <w:sz w:val="24"/>
          <w:szCs w:val="24"/>
        </w:rPr>
        <w:t>Sensib</w:t>
      </w:r>
      <w:r>
        <w:rPr>
          <w:rFonts w:asciiTheme="majorBidi" w:hAnsiTheme="majorBidi" w:cstheme="majorBidi"/>
          <w:sz w:val="24"/>
          <w:szCs w:val="24"/>
        </w:rPr>
        <w:t>iliser le personnel, le motiver et</w:t>
      </w:r>
      <w:r w:rsidRPr="00A3540C">
        <w:rPr>
          <w:rFonts w:asciiTheme="majorBidi" w:hAnsiTheme="majorBidi" w:cstheme="majorBidi"/>
          <w:sz w:val="24"/>
          <w:szCs w:val="24"/>
        </w:rPr>
        <w:t xml:space="preserve"> se servir de l’enquête satisfaction comme un outil de management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A30BA1" w:rsidRPr="00AB68C6" w:rsidRDefault="00A30BA1" w:rsidP="00A30BA1">
      <w:pPr>
        <w:jc w:val="both"/>
        <w:rPr>
          <w:rFonts w:asciiTheme="majorBidi" w:hAnsiTheme="majorBidi" w:cstheme="majorBidi"/>
          <w:sz w:val="24"/>
          <w:szCs w:val="24"/>
        </w:rPr>
      </w:pPr>
      <w:r w:rsidRPr="00AB68C6">
        <w:rPr>
          <w:rFonts w:asciiTheme="majorBidi" w:hAnsiTheme="majorBidi" w:cstheme="majorBidi"/>
          <w:sz w:val="24"/>
          <w:szCs w:val="24"/>
        </w:rPr>
        <w:t>Les points traités sont :</w:t>
      </w:r>
    </w:p>
    <w:p w:rsidR="00A30BA1" w:rsidRDefault="00A30BA1" w:rsidP="00A30BA1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Suffisance des affiches liées aux inscriptions des nouveaux bacheliers ;</w:t>
      </w:r>
    </w:p>
    <w:p w:rsidR="00A30BA1" w:rsidRDefault="00A30BA1" w:rsidP="00A30BA1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Accessibilité des endroits prévus aux inscriptions ;</w:t>
      </w:r>
    </w:p>
    <w:p w:rsidR="00A30BA1" w:rsidRDefault="00A30BA1" w:rsidP="00A30BA1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Degré de satisfaction au sujet  des services lors des inscriptions ;</w:t>
      </w:r>
    </w:p>
    <w:p w:rsidR="00A30BA1" w:rsidRDefault="00A30BA1" w:rsidP="00A30BA1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Qualité de l’équipe chargée de l’orientation pendant les inscriptions ;</w:t>
      </w:r>
    </w:p>
    <w:p w:rsidR="00A30BA1" w:rsidRDefault="00A30BA1" w:rsidP="00A30BA1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Facilité d’accès à l’internet ;</w:t>
      </w:r>
    </w:p>
    <w:p w:rsidR="00A30BA1" w:rsidRDefault="00A30BA1" w:rsidP="00A30BA1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Qualité de l’accueil ;</w:t>
      </w:r>
    </w:p>
    <w:p w:rsidR="00A30BA1" w:rsidRDefault="00A30BA1" w:rsidP="00A30BA1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Connaissance des droits et des devoirs des étudiants ;</w:t>
      </w:r>
    </w:p>
    <w:p w:rsidR="00A30BA1" w:rsidRPr="00A3540C" w:rsidRDefault="00A30BA1" w:rsidP="00A30BA1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</w:rPr>
      </w:pPr>
      <w:r w:rsidRPr="00AB68C6">
        <w:rPr>
          <w:rFonts w:asciiTheme="majorBidi" w:hAnsiTheme="majorBidi" w:cstheme="majorBidi"/>
          <w:sz w:val="24"/>
          <w:szCs w:val="24"/>
        </w:rPr>
        <w:t>Satisfaction globale sur les services offerts par l’université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A30BA1" w:rsidRDefault="00A30BA1">
      <w:pPr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</w:pPr>
    </w:p>
    <w:p w:rsidR="00A30BA1" w:rsidRDefault="00A30BA1">
      <w:pPr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</w:pPr>
    </w:p>
    <w:p w:rsidR="00A30BA1" w:rsidRDefault="00A30BA1">
      <w:pPr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</w:pPr>
    </w:p>
    <w:p w:rsidR="00A30BA1" w:rsidRDefault="00A30BA1">
      <w:pPr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</w:pPr>
    </w:p>
    <w:p w:rsidR="00A30BA1" w:rsidRDefault="00A30BA1">
      <w:pPr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</w:pPr>
    </w:p>
    <w:p w:rsidR="00A30BA1" w:rsidRDefault="00A30BA1">
      <w:pPr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</w:pPr>
    </w:p>
    <w:p w:rsidR="00A30BA1" w:rsidRDefault="00A30BA1" w:rsidP="00A30BA1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A30BA1" w:rsidRPr="00A30BA1" w:rsidRDefault="00A30BA1" w:rsidP="00A30BA1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30BA1">
        <w:rPr>
          <w:rFonts w:ascii="Times New Roman" w:hAnsi="Times New Roman" w:cs="Times New Roman"/>
          <w:b/>
          <w:bCs/>
          <w:sz w:val="36"/>
          <w:szCs w:val="36"/>
        </w:rPr>
        <w:t>Résultats de l’enquête</w:t>
      </w:r>
    </w:p>
    <w:p w:rsidR="00A71431" w:rsidRPr="00A30BA1" w:rsidRDefault="00D131DB" w:rsidP="00A30BA1">
      <w:pPr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</w:pPr>
      <w:r w:rsidRPr="0096785A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>La faculté des Sciences %</w:t>
      </w:r>
      <w:r w:rsidR="000D1D7E">
        <w:rPr>
          <w:noProof/>
          <w:lang w:eastAsia="fr-FR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-29464</wp:posOffset>
            </wp:positionH>
            <wp:positionV relativeFrom="paragraph">
              <wp:posOffset>362331</wp:posOffset>
            </wp:positionV>
            <wp:extent cx="4571873" cy="2743073"/>
            <wp:effectExtent l="0" t="19050" r="76327" b="57277"/>
            <wp:wrapNone/>
            <wp:docPr id="2" name="Graphiqu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A71431" w:rsidRPr="0096785A" w:rsidRDefault="00A71431">
      <w:pPr>
        <w:rPr>
          <w:rFonts w:ascii="Times New Roman" w:hAnsi="Times New Roman" w:cs="Times New Roman"/>
          <w:i/>
          <w:iCs/>
          <w:sz w:val="36"/>
          <w:szCs w:val="36"/>
          <w:u w:val="single"/>
        </w:rPr>
      </w:pPr>
    </w:p>
    <w:p w:rsidR="00A71431" w:rsidRPr="0096785A" w:rsidRDefault="00A71431">
      <w:pPr>
        <w:rPr>
          <w:rFonts w:ascii="Times New Roman" w:hAnsi="Times New Roman" w:cs="Times New Roman"/>
          <w:i/>
          <w:iCs/>
          <w:sz w:val="36"/>
          <w:szCs w:val="36"/>
          <w:u w:val="single"/>
        </w:rPr>
      </w:pPr>
    </w:p>
    <w:p w:rsidR="00A71431" w:rsidRPr="0096785A" w:rsidRDefault="00A71431">
      <w:pPr>
        <w:rPr>
          <w:rFonts w:ascii="Times New Roman" w:hAnsi="Times New Roman" w:cs="Times New Roman"/>
          <w:i/>
          <w:iCs/>
          <w:sz w:val="36"/>
          <w:szCs w:val="36"/>
          <w:u w:val="single"/>
        </w:rPr>
      </w:pPr>
    </w:p>
    <w:p w:rsidR="00A71431" w:rsidRPr="0096785A" w:rsidRDefault="00A71431">
      <w:pPr>
        <w:rPr>
          <w:rFonts w:ascii="Times New Roman" w:hAnsi="Times New Roman" w:cs="Times New Roman"/>
          <w:i/>
          <w:iCs/>
          <w:sz w:val="36"/>
          <w:szCs w:val="36"/>
          <w:u w:val="single"/>
        </w:rPr>
      </w:pPr>
    </w:p>
    <w:p w:rsidR="00A71431" w:rsidRPr="0096785A" w:rsidRDefault="00A71431">
      <w:pPr>
        <w:rPr>
          <w:rFonts w:ascii="Times New Roman" w:hAnsi="Times New Roman" w:cs="Times New Roman"/>
          <w:i/>
          <w:iCs/>
          <w:sz w:val="36"/>
          <w:szCs w:val="36"/>
          <w:u w:val="single"/>
        </w:rPr>
      </w:pPr>
    </w:p>
    <w:p w:rsidR="00A71431" w:rsidRPr="0096785A" w:rsidRDefault="00A71431">
      <w:pPr>
        <w:rPr>
          <w:rFonts w:ascii="Times New Roman" w:hAnsi="Times New Roman" w:cs="Times New Roman"/>
          <w:i/>
          <w:iCs/>
          <w:sz w:val="36"/>
          <w:szCs w:val="36"/>
          <w:u w:val="single"/>
        </w:rPr>
      </w:pPr>
    </w:p>
    <w:p w:rsidR="00A71431" w:rsidRPr="0096785A" w:rsidRDefault="00A71431">
      <w:pPr>
        <w:rPr>
          <w:rFonts w:ascii="Times New Roman" w:hAnsi="Times New Roman" w:cs="Times New Roman"/>
          <w:i/>
          <w:iCs/>
          <w:sz w:val="36"/>
          <w:szCs w:val="36"/>
          <w:u w:val="single"/>
        </w:rPr>
      </w:pPr>
    </w:p>
    <w:p w:rsidR="00A71431" w:rsidRPr="0096785A" w:rsidRDefault="00A71431">
      <w:pPr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</w:pPr>
      <w:r w:rsidRPr="0096785A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>Faculté des Sciences de l’ingéniorat.</w:t>
      </w:r>
    </w:p>
    <w:p w:rsidR="00A71431" w:rsidRDefault="000D1D7E">
      <w:pPr>
        <w:rPr>
          <w:rFonts w:ascii="Times New Roman" w:hAnsi="Times New Roman" w:cs="Times New Roman"/>
          <w:i/>
          <w:iCs/>
          <w:sz w:val="36"/>
          <w:szCs w:val="36"/>
          <w:u w:val="single"/>
        </w:rPr>
      </w:pPr>
      <w:bookmarkStart w:id="0" w:name="_GoBack"/>
      <w:r>
        <w:rPr>
          <w:noProof/>
          <w:lang w:eastAsia="fr-FR"/>
        </w:rPr>
        <w:drawing>
          <wp:inline distT="0" distB="0" distL="0" distR="0">
            <wp:extent cx="4571240" cy="2742440"/>
            <wp:effectExtent l="0" t="19050" r="76960" b="57910"/>
            <wp:docPr id="1" name="Graphiqu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bookmarkEnd w:id="0"/>
    </w:p>
    <w:p w:rsidR="0018620F" w:rsidRDefault="0018620F">
      <w:pPr>
        <w:rPr>
          <w:rFonts w:ascii="Times New Roman" w:hAnsi="Times New Roman" w:cs="Times New Roman"/>
          <w:i/>
          <w:iCs/>
          <w:sz w:val="36"/>
          <w:szCs w:val="36"/>
          <w:u w:val="single"/>
        </w:rPr>
      </w:pPr>
    </w:p>
    <w:p w:rsidR="00A30BA1" w:rsidRDefault="00A30BA1">
      <w:pPr>
        <w:rPr>
          <w:rFonts w:ascii="Times New Roman" w:hAnsi="Times New Roman" w:cs="Times New Roman"/>
          <w:i/>
          <w:iCs/>
          <w:sz w:val="36"/>
          <w:szCs w:val="36"/>
          <w:u w:val="single"/>
        </w:rPr>
      </w:pPr>
    </w:p>
    <w:p w:rsidR="00A30BA1" w:rsidRDefault="00A30BA1">
      <w:pPr>
        <w:rPr>
          <w:rFonts w:ascii="Times New Roman" w:hAnsi="Times New Roman" w:cs="Times New Roman"/>
          <w:i/>
          <w:iCs/>
          <w:sz w:val="36"/>
          <w:szCs w:val="36"/>
          <w:u w:val="single"/>
        </w:rPr>
      </w:pPr>
    </w:p>
    <w:p w:rsidR="0018620F" w:rsidRPr="00543B7C" w:rsidRDefault="0018620F" w:rsidP="00543B7C">
      <w:pPr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</w:pPr>
      <w:r w:rsidRPr="0018620F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>Faculté des lettres</w:t>
      </w:r>
      <w:r w:rsidR="0034351E" w:rsidRPr="00543B7C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 xml:space="preserve"> et sciences humaines et sociales</w:t>
      </w:r>
    </w:p>
    <w:p w:rsidR="0079485C" w:rsidRDefault="0079485C" w:rsidP="0079485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fr-FR"/>
        </w:rPr>
      </w:pPr>
      <w:r w:rsidRPr="0079485C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fr-FR"/>
        </w:rPr>
        <w:drawing>
          <wp:inline distT="0" distB="0" distL="0" distR="0">
            <wp:extent cx="5972810" cy="3400425"/>
            <wp:effectExtent l="0" t="19050" r="85090" b="47625"/>
            <wp:docPr id="6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4351E" w:rsidRPr="0034351E" w:rsidRDefault="0034351E" w:rsidP="0034351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fr-FR"/>
        </w:rPr>
      </w:pPr>
    </w:p>
    <w:p w:rsidR="0034351E" w:rsidRPr="0079485C" w:rsidRDefault="0034351E" w:rsidP="0079485C">
      <w:pPr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</w:pPr>
      <w:r w:rsidRPr="00543B7C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>Faculté des Sciences économiques &amp; gestion</w:t>
      </w:r>
    </w:p>
    <w:p w:rsidR="0079485C" w:rsidRPr="0079485C" w:rsidRDefault="0079485C" w:rsidP="0079485C">
      <w:pPr>
        <w:rPr>
          <w:rFonts w:ascii="Times New Roman" w:hAnsi="Times New Roman" w:cs="Times New Roman"/>
          <w:sz w:val="36"/>
          <w:szCs w:val="36"/>
        </w:rPr>
      </w:pPr>
      <w:r w:rsidRPr="0079485C">
        <w:rPr>
          <w:rFonts w:ascii="Times New Roman" w:hAnsi="Times New Roman" w:cs="Times New Roman"/>
          <w:i/>
          <w:iCs/>
          <w:noProof/>
          <w:sz w:val="36"/>
          <w:szCs w:val="36"/>
          <w:lang w:eastAsia="fr-FR"/>
        </w:rPr>
        <w:drawing>
          <wp:inline distT="0" distB="0" distL="0" distR="0">
            <wp:extent cx="5972810" cy="3403600"/>
            <wp:effectExtent l="0" t="19050" r="85090" b="63500"/>
            <wp:docPr id="5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30BA1" w:rsidRDefault="00A30BA1" w:rsidP="00543B7C">
      <w:pPr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</w:pPr>
    </w:p>
    <w:p w:rsidR="00543B7C" w:rsidRPr="00543B7C" w:rsidRDefault="0034351E" w:rsidP="00543B7C">
      <w:pPr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</w:pPr>
      <w:r w:rsidRPr="00543B7C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>Faculté de droit</w:t>
      </w:r>
    </w:p>
    <w:p w:rsidR="0034351E" w:rsidRDefault="0079485C">
      <w:pPr>
        <w:rPr>
          <w:rFonts w:ascii="Times New Roman" w:hAnsi="Times New Roman" w:cs="Times New Roman"/>
          <w:i/>
          <w:iCs/>
          <w:sz w:val="36"/>
          <w:szCs w:val="36"/>
          <w:u w:val="single"/>
        </w:rPr>
      </w:pPr>
      <w:r w:rsidRPr="0079485C">
        <w:rPr>
          <w:rFonts w:ascii="Times New Roman" w:hAnsi="Times New Roman" w:cs="Times New Roman"/>
          <w:i/>
          <w:iCs/>
          <w:noProof/>
          <w:sz w:val="36"/>
          <w:szCs w:val="36"/>
          <w:lang w:eastAsia="fr-FR"/>
        </w:rPr>
        <w:drawing>
          <wp:inline distT="0" distB="0" distL="0" distR="0">
            <wp:extent cx="5972810" cy="3283585"/>
            <wp:effectExtent l="0" t="19050" r="85090" b="50165"/>
            <wp:docPr id="8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43B7C" w:rsidRDefault="00543B7C">
      <w:pPr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</w:pPr>
      <w:r w:rsidRPr="00543B7C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>Faculté des sciences de la terre et de l’univers</w:t>
      </w:r>
    </w:p>
    <w:p w:rsidR="0079485C" w:rsidRPr="00543B7C" w:rsidRDefault="0079485C">
      <w:pPr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</w:pPr>
      <w:r w:rsidRPr="0079485C">
        <w:rPr>
          <w:rFonts w:ascii="Times New Roman" w:hAnsi="Times New Roman" w:cs="Times New Roman"/>
          <w:b/>
          <w:bCs/>
          <w:i/>
          <w:iCs/>
          <w:noProof/>
          <w:sz w:val="36"/>
          <w:szCs w:val="36"/>
          <w:lang w:eastAsia="fr-FR"/>
        </w:rPr>
        <w:drawing>
          <wp:inline distT="0" distB="0" distL="0" distR="0">
            <wp:extent cx="5972810" cy="3429000"/>
            <wp:effectExtent l="0" t="19050" r="85090" b="57150"/>
            <wp:docPr id="7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sectPr w:rsidR="0079485C" w:rsidRPr="00543B7C" w:rsidSect="00A30BA1">
      <w:headerReference w:type="default" r:id="rId14"/>
      <w:pgSz w:w="12240" w:h="15840"/>
      <w:pgMar w:top="818" w:right="1361" w:bottom="1418" w:left="1418" w:header="22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3F7" w:rsidRDefault="00DA63F7" w:rsidP="00066C55">
      <w:pPr>
        <w:spacing w:after="0" w:line="240" w:lineRule="auto"/>
      </w:pPr>
      <w:r>
        <w:separator/>
      </w:r>
    </w:p>
  </w:endnote>
  <w:endnote w:type="continuationSeparator" w:id="0">
    <w:p w:rsidR="00DA63F7" w:rsidRDefault="00DA63F7" w:rsidP="00066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3F7" w:rsidRDefault="00DA63F7" w:rsidP="00066C55">
      <w:pPr>
        <w:spacing w:after="0" w:line="240" w:lineRule="auto"/>
      </w:pPr>
      <w:r>
        <w:separator/>
      </w:r>
    </w:p>
  </w:footnote>
  <w:footnote w:type="continuationSeparator" w:id="0">
    <w:p w:rsidR="00DA63F7" w:rsidRDefault="00DA63F7" w:rsidP="00066C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C55" w:rsidRPr="003C33AE" w:rsidRDefault="00066C55" w:rsidP="00013492">
    <w:pPr>
      <w:pStyle w:val="En-tte"/>
      <w:tabs>
        <w:tab w:val="clear" w:pos="4536"/>
        <w:tab w:val="clear" w:pos="9072"/>
        <w:tab w:val="left" w:pos="7087"/>
      </w:tabs>
      <w:spacing w:after="0"/>
      <w:rPr>
        <w:rFonts w:ascii="Times New Roman" w:hAnsi="Times New Roman" w:cs="Times New Roman"/>
        <w:b/>
        <w:bCs/>
        <w:i/>
        <w:iCs/>
        <w:sz w:val="24"/>
        <w:szCs w:val="24"/>
      </w:rPr>
    </w:pPr>
    <w:r w:rsidRPr="003C33AE">
      <w:rPr>
        <w:rFonts w:ascii="Times New Roman" w:hAnsi="Times New Roman" w:cs="Times New Roman"/>
        <w:b/>
        <w:bCs/>
        <w:i/>
        <w:iCs/>
        <w:sz w:val="24"/>
        <w:szCs w:val="24"/>
      </w:rPr>
      <w:t>Université Badji Mokhtar</w:t>
    </w:r>
    <w:r w:rsidR="00013492">
      <w:rPr>
        <w:rFonts w:ascii="Times New Roman" w:hAnsi="Times New Roman" w:cs="Times New Roman"/>
        <w:b/>
        <w:bCs/>
        <w:i/>
        <w:iCs/>
        <w:sz w:val="24"/>
        <w:szCs w:val="24"/>
      </w:rPr>
      <w:t xml:space="preserve">                           </w:t>
    </w:r>
    <w:r w:rsidR="00013492">
      <w:rPr>
        <w:rFonts w:ascii="Times New Roman" w:hAnsi="Times New Roman" w:cs="Times New Roman"/>
        <w:b/>
        <w:bCs/>
        <w:i/>
        <w:iCs/>
        <w:noProof/>
        <w:sz w:val="24"/>
        <w:szCs w:val="24"/>
        <w:lang w:eastAsia="fr-FR"/>
      </w:rPr>
      <w:drawing>
        <wp:inline distT="0" distB="0" distL="0" distR="0">
          <wp:extent cx="530225" cy="438150"/>
          <wp:effectExtent l="0" t="0" r="3175" b="0"/>
          <wp:docPr id="10" name="Image 8" descr="logo univ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niv.JPG"/>
                  <pic:cNvPicPr/>
                </pic:nvPicPr>
                <pic:blipFill>
                  <a:blip r:embed="rId1">
                    <a:clrChange>
                      <a:clrFrom>
                        <a:srgbClr val="FFFDEE"/>
                      </a:clrFrom>
                      <a:clrTo>
                        <a:srgbClr val="FFFDEE">
                          <a:alpha val="0"/>
                        </a:srgbClr>
                      </a:clrTo>
                    </a:clrChange>
                  </a:blip>
                  <a:srcRect l="18750" r="11667" b="4167"/>
                  <a:stretch>
                    <a:fillRect/>
                  </a:stretch>
                </pic:blipFill>
                <pic:spPr>
                  <a:xfrm>
                    <a:off x="0" y="0"/>
                    <a:ext cx="530225" cy="438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3492">
      <w:rPr>
        <w:rFonts w:ascii="Times New Roman" w:hAnsi="Times New Roman" w:cs="Times New Roman"/>
        <w:b/>
        <w:bCs/>
        <w:i/>
        <w:iCs/>
        <w:sz w:val="24"/>
        <w:szCs w:val="24"/>
      </w:rPr>
      <w:t xml:space="preserve">                 </w:t>
    </w:r>
    <w:r w:rsidR="00A30BA1">
      <w:rPr>
        <w:rFonts w:ascii="Times New Roman" w:hAnsi="Times New Roman" w:cs="Times New Roman"/>
        <w:b/>
        <w:bCs/>
        <w:i/>
        <w:iCs/>
        <w:sz w:val="24"/>
        <w:szCs w:val="24"/>
      </w:rPr>
      <w:t xml:space="preserve">       Cellule Assurance Qualité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5E785C"/>
    <w:multiLevelType w:val="hybridMultilevel"/>
    <w:tmpl w:val="0DACFA84"/>
    <w:lvl w:ilvl="0" w:tplc="9F88AF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8D2D7A"/>
    <w:multiLevelType w:val="hybridMultilevel"/>
    <w:tmpl w:val="812C1140"/>
    <w:lvl w:ilvl="0" w:tplc="F63CEEB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1DB"/>
    <w:rsid w:val="0000268C"/>
    <w:rsid w:val="00003D5E"/>
    <w:rsid w:val="00005D76"/>
    <w:rsid w:val="00010471"/>
    <w:rsid w:val="00012CE5"/>
    <w:rsid w:val="00013492"/>
    <w:rsid w:val="00016CA1"/>
    <w:rsid w:val="000441CF"/>
    <w:rsid w:val="00052B80"/>
    <w:rsid w:val="00066C55"/>
    <w:rsid w:val="0007075A"/>
    <w:rsid w:val="00080ACE"/>
    <w:rsid w:val="000810D7"/>
    <w:rsid w:val="000A778B"/>
    <w:rsid w:val="000B1914"/>
    <w:rsid w:val="000B6EEB"/>
    <w:rsid w:val="000D1D7E"/>
    <w:rsid w:val="000E1C9F"/>
    <w:rsid w:val="00115643"/>
    <w:rsid w:val="001364B9"/>
    <w:rsid w:val="001640D0"/>
    <w:rsid w:val="00166788"/>
    <w:rsid w:val="00173DE3"/>
    <w:rsid w:val="0017679F"/>
    <w:rsid w:val="00176AB0"/>
    <w:rsid w:val="0018620F"/>
    <w:rsid w:val="0019405B"/>
    <w:rsid w:val="001A3CB7"/>
    <w:rsid w:val="001C614F"/>
    <w:rsid w:val="00211B55"/>
    <w:rsid w:val="00213365"/>
    <w:rsid w:val="00234DBF"/>
    <w:rsid w:val="00236345"/>
    <w:rsid w:val="00255687"/>
    <w:rsid w:val="00264AA0"/>
    <w:rsid w:val="00266D58"/>
    <w:rsid w:val="00270FAB"/>
    <w:rsid w:val="002904FC"/>
    <w:rsid w:val="002927E1"/>
    <w:rsid w:val="00295F68"/>
    <w:rsid w:val="00297FC6"/>
    <w:rsid w:val="002B5D2F"/>
    <w:rsid w:val="002C0EB2"/>
    <w:rsid w:val="002C5AB1"/>
    <w:rsid w:val="002F0657"/>
    <w:rsid w:val="003002B7"/>
    <w:rsid w:val="00305AAE"/>
    <w:rsid w:val="003161D3"/>
    <w:rsid w:val="00330567"/>
    <w:rsid w:val="00334BA3"/>
    <w:rsid w:val="0034351E"/>
    <w:rsid w:val="00377624"/>
    <w:rsid w:val="003A4DED"/>
    <w:rsid w:val="003C09FD"/>
    <w:rsid w:val="003C33AE"/>
    <w:rsid w:val="00406EBD"/>
    <w:rsid w:val="00426B28"/>
    <w:rsid w:val="00463BDA"/>
    <w:rsid w:val="00476E6A"/>
    <w:rsid w:val="00495D9B"/>
    <w:rsid w:val="004B2366"/>
    <w:rsid w:val="004B7214"/>
    <w:rsid w:val="004D7818"/>
    <w:rsid w:val="004F09ED"/>
    <w:rsid w:val="0050757C"/>
    <w:rsid w:val="00513CF1"/>
    <w:rsid w:val="005149E0"/>
    <w:rsid w:val="00534BB5"/>
    <w:rsid w:val="00543528"/>
    <w:rsid w:val="00543B7C"/>
    <w:rsid w:val="0056033F"/>
    <w:rsid w:val="005618E3"/>
    <w:rsid w:val="00566298"/>
    <w:rsid w:val="00567DF5"/>
    <w:rsid w:val="0058768C"/>
    <w:rsid w:val="005A665A"/>
    <w:rsid w:val="005C02AC"/>
    <w:rsid w:val="005C6AD6"/>
    <w:rsid w:val="005C7C4F"/>
    <w:rsid w:val="005E660F"/>
    <w:rsid w:val="00612E03"/>
    <w:rsid w:val="00625378"/>
    <w:rsid w:val="006315BF"/>
    <w:rsid w:val="00632011"/>
    <w:rsid w:val="006D325E"/>
    <w:rsid w:val="00711622"/>
    <w:rsid w:val="00712EB3"/>
    <w:rsid w:val="00732A55"/>
    <w:rsid w:val="0073369A"/>
    <w:rsid w:val="007421A9"/>
    <w:rsid w:val="00750FFC"/>
    <w:rsid w:val="00773F1E"/>
    <w:rsid w:val="00775E38"/>
    <w:rsid w:val="00783B21"/>
    <w:rsid w:val="0079485C"/>
    <w:rsid w:val="007A658B"/>
    <w:rsid w:val="007C0032"/>
    <w:rsid w:val="007C1956"/>
    <w:rsid w:val="007E2093"/>
    <w:rsid w:val="007F0C9D"/>
    <w:rsid w:val="008366A4"/>
    <w:rsid w:val="008643FF"/>
    <w:rsid w:val="00875098"/>
    <w:rsid w:val="008848AC"/>
    <w:rsid w:val="008B7055"/>
    <w:rsid w:val="00937AFC"/>
    <w:rsid w:val="009431BE"/>
    <w:rsid w:val="0096418D"/>
    <w:rsid w:val="0096785A"/>
    <w:rsid w:val="009812FD"/>
    <w:rsid w:val="00995A0E"/>
    <w:rsid w:val="009A4EB2"/>
    <w:rsid w:val="009F5AF0"/>
    <w:rsid w:val="00A006D5"/>
    <w:rsid w:val="00A10938"/>
    <w:rsid w:val="00A16CF7"/>
    <w:rsid w:val="00A25052"/>
    <w:rsid w:val="00A30BA1"/>
    <w:rsid w:val="00A34F07"/>
    <w:rsid w:val="00A37E7C"/>
    <w:rsid w:val="00A71431"/>
    <w:rsid w:val="00A82CD0"/>
    <w:rsid w:val="00A864E4"/>
    <w:rsid w:val="00AB5024"/>
    <w:rsid w:val="00AF2FA9"/>
    <w:rsid w:val="00B011FC"/>
    <w:rsid w:val="00B10F64"/>
    <w:rsid w:val="00B14D4A"/>
    <w:rsid w:val="00B239D8"/>
    <w:rsid w:val="00B740B7"/>
    <w:rsid w:val="00B83C95"/>
    <w:rsid w:val="00BA0D52"/>
    <w:rsid w:val="00BA1698"/>
    <w:rsid w:val="00BF77BE"/>
    <w:rsid w:val="00C13EF1"/>
    <w:rsid w:val="00C43E3F"/>
    <w:rsid w:val="00C45E5B"/>
    <w:rsid w:val="00C51597"/>
    <w:rsid w:val="00CA3675"/>
    <w:rsid w:val="00CB4DD8"/>
    <w:rsid w:val="00CB50C4"/>
    <w:rsid w:val="00CB717A"/>
    <w:rsid w:val="00D023FD"/>
    <w:rsid w:val="00D131DB"/>
    <w:rsid w:val="00D4495A"/>
    <w:rsid w:val="00DA63F7"/>
    <w:rsid w:val="00DD0FA5"/>
    <w:rsid w:val="00E15ADF"/>
    <w:rsid w:val="00E22D9B"/>
    <w:rsid w:val="00E25487"/>
    <w:rsid w:val="00E4450D"/>
    <w:rsid w:val="00E6716A"/>
    <w:rsid w:val="00E70A9A"/>
    <w:rsid w:val="00E90752"/>
    <w:rsid w:val="00EA4614"/>
    <w:rsid w:val="00ED56C7"/>
    <w:rsid w:val="00F0115A"/>
    <w:rsid w:val="00F05E5F"/>
    <w:rsid w:val="00F13397"/>
    <w:rsid w:val="00F2202E"/>
    <w:rsid w:val="00F221B0"/>
    <w:rsid w:val="00F66103"/>
    <w:rsid w:val="00FF2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0FAB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13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D131DB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066C55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066C55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066C5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066C55"/>
    <w:rPr>
      <w:sz w:val="22"/>
      <w:szCs w:val="22"/>
      <w:lang w:eastAsia="en-US"/>
    </w:rPr>
  </w:style>
  <w:style w:type="paragraph" w:styleId="Paragraphedeliste">
    <w:name w:val="List Paragraph"/>
    <w:basedOn w:val="Normal"/>
    <w:uiPriority w:val="34"/>
    <w:qFormat/>
    <w:rsid w:val="00A30BA1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0FAB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13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D131DB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066C55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066C55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066C5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066C55"/>
    <w:rPr>
      <w:sz w:val="22"/>
      <w:szCs w:val="22"/>
      <w:lang w:eastAsia="en-US"/>
    </w:rPr>
  </w:style>
  <w:style w:type="paragraph" w:styleId="Paragraphedeliste">
    <w:name w:val="List Paragraph"/>
    <w:basedOn w:val="Normal"/>
    <w:uiPriority w:val="34"/>
    <w:qFormat/>
    <w:rsid w:val="00A30BA1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Classeur1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freedy\Desktop\Enquete%20SCI-ING1.xlsx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Classeur1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Classeur1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Classeur1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F:\Enqu&#234;te-N-%20bacheliers\graphiques%20stu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Feuil1!$D$4</c:f>
              <c:strCache>
                <c:ptCount val="1"/>
                <c:pt idx="0">
                  <c:v>faible</c:v>
                </c:pt>
              </c:strCache>
            </c:strRef>
          </c:tx>
          <c:invertIfNegative val="0"/>
          <c:cat>
            <c:strRef>
              <c:f>Feuil1!$A$5:$C$13</c:f>
              <c:strCache>
                <c:ptCount val="8"/>
                <c:pt idx="0">
                  <c:v>Les affiches</c:v>
                </c:pt>
                <c:pt idx="1">
                  <c:v>Les endroits d'inscription</c:v>
                </c:pt>
                <c:pt idx="2">
                  <c:v>les services</c:v>
                </c:pt>
                <c:pt idx="3">
                  <c:v>L'équipe d'orientation</c:v>
                </c:pt>
                <c:pt idx="4">
                  <c:v>L'accès à l'internet</c:v>
                </c:pt>
                <c:pt idx="5">
                  <c:v>L'accueil</c:v>
                </c:pt>
                <c:pt idx="6">
                  <c:v>connaissance devoirs/droits</c:v>
                </c:pt>
                <c:pt idx="7">
                  <c:v>Satisfaction des services</c:v>
                </c:pt>
              </c:strCache>
            </c:strRef>
          </c:cat>
          <c:val>
            <c:numRef>
              <c:f>Feuil1!$D$5:$D$13</c:f>
              <c:numCache>
                <c:formatCode>General</c:formatCode>
                <c:ptCount val="9"/>
                <c:pt idx="0">
                  <c:v>2.06</c:v>
                </c:pt>
                <c:pt idx="1">
                  <c:v>3.79</c:v>
                </c:pt>
                <c:pt idx="2">
                  <c:v>1.7200000000000002</c:v>
                </c:pt>
                <c:pt idx="3">
                  <c:v>2.4099999999999997</c:v>
                </c:pt>
                <c:pt idx="4">
                  <c:v>3.1</c:v>
                </c:pt>
                <c:pt idx="5">
                  <c:v>1.37</c:v>
                </c:pt>
                <c:pt idx="6">
                  <c:v>1.03</c:v>
                </c:pt>
                <c:pt idx="7">
                  <c:v>2.06</c:v>
                </c:pt>
              </c:numCache>
            </c:numRef>
          </c:val>
        </c:ser>
        <c:ser>
          <c:idx val="1"/>
          <c:order val="1"/>
          <c:tx>
            <c:strRef>
              <c:f>Feuil1!$E$4</c:f>
              <c:strCache>
                <c:ptCount val="1"/>
                <c:pt idx="0">
                  <c:v>Moyenne </c:v>
                </c:pt>
              </c:strCache>
            </c:strRef>
          </c:tx>
          <c:invertIfNegative val="0"/>
          <c:cat>
            <c:strRef>
              <c:f>Feuil1!$A$5:$C$13</c:f>
              <c:strCache>
                <c:ptCount val="8"/>
                <c:pt idx="0">
                  <c:v>Les affiches</c:v>
                </c:pt>
                <c:pt idx="1">
                  <c:v>Les endroits d'inscription</c:v>
                </c:pt>
                <c:pt idx="2">
                  <c:v>les services</c:v>
                </c:pt>
                <c:pt idx="3">
                  <c:v>L'équipe d'orientation</c:v>
                </c:pt>
                <c:pt idx="4">
                  <c:v>L'accès à l'internet</c:v>
                </c:pt>
                <c:pt idx="5">
                  <c:v>L'accueil</c:v>
                </c:pt>
                <c:pt idx="6">
                  <c:v>connaissance devoirs/droits</c:v>
                </c:pt>
                <c:pt idx="7">
                  <c:v>Satisfaction des services</c:v>
                </c:pt>
              </c:strCache>
            </c:strRef>
          </c:cat>
          <c:val>
            <c:numRef>
              <c:f>Feuil1!$E$5:$E$13</c:f>
              <c:numCache>
                <c:formatCode>General</c:formatCode>
                <c:ptCount val="9"/>
                <c:pt idx="0">
                  <c:v>8.27</c:v>
                </c:pt>
                <c:pt idx="1">
                  <c:v>7.9300000000000015</c:v>
                </c:pt>
                <c:pt idx="2">
                  <c:v>6.2</c:v>
                </c:pt>
                <c:pt idx="3">
                  <c:v>3.79</c:v>
                </c:pt>
                <c:pt idx="4">
                  <c:v>2.4099999999999997</c:v>
                </c:pt>
                <c:pt idx="5">
                  <c:v>4.8199999999999985</c:v>
                </c:pt>
                <c:pt idx="6">
                  <c:v>5.51</c:v>
                </c:pt>
                <c:pt idx="7">
                  <c:v>4.8199999999999985</c:v>
                </c:pt>
              </c:numCache>
            </c:numRef>
          </c:val>
        </c:ser>
        <c:ser>
          <c:idx val="2"/>
          <c:order val="2"/>
          <c:tx>
            <c:strRef>
              <c:f>Feuil1!$F$4</c:f>
              <c:strCache>
                <c:ptCount val="1"/>
                <c:pt idx="0">
                  <c:v>Assez Bien </c:v>
                </c:pt>
              </c:strCache>
            </c:strRef>
          </c:tx>
          <c:invertIfNegative val="0"/>
          <c:cat>
            <c:strRef>
              <c:f>Feuil1!$A$5:$C$13</c:f>
              <c:strCache>
                <c:ptCount val="8"/>
                <c:pt idx="0">
                  <c:v>Les affiches</c:v>
                </c:pt>
                <c:pt idx="1">
                  <c:v>Les endroits d'inscription</c:v>
                </c:pt>
                <c:pt idx="2">
                  <c:v>les services</c:v>
                </c:pt>
                <c:pt idx="3">
                  <c:v>L'équipe d'orientation</c:v>
                </c:pt>
                <c:pt idx="4">
                  <c:v>L'accès à l'internet</c:v>
                </c:pt>
                <c:pt idx="5">
                  <c:v>L'accueil</c:v>
                </c:pt>
                <c:pt idx="6">
                  <c:v>connaissance devoirs/droits</c:v>
                </c:pt>
                <c:pt idx="7">
                  <c:v>Satisfaction des services</c:v>
                </c:pt>
              </c:strCache>
            </c:strRef>
          </c:cat>
          <c:val>
            <c:numRef>
              <c:f>Feuil1!$F$5:$F$13</c:f>
              <c:numCache>
                <c:formatCode>General</c:formatCode>
                <c:ptCount val="9"/>
                <c:pt idx="0">
                  <c:v>9.65</c:v>
                </c:pt>
                <c:pt idx="1">
                  <c:v>6.89</c:v>
                </c:pt>
                <c:pt idx="2">
                  <c:v>10</c:v>
                </c:pt>
                <c:pt idx="3">
                  <c:v>7.58</c:v>
                </c:pt>
                <c:pt idx="4">
                  <c:v>11.03</c:v>
                </c:pt>
                <c:pt idx="5">
                  <c:v>9.31</c:v>
                </c:pt>
                <c:pt idx="6">
                  <c:v>7.24</c:v>
                </c:pt>
                <c:pt idx="7">
                  <c:v>8.9600000000000026</c:v>
                </c:pt>
              </c:numCache>
            </c:numRef>
          </c:val>
        </c:ser>
        <c:ser>
          <c:idx val="3"/>
          <c:order val="3"/>
          <c:tx>
            <c:strRef>
              <c:f>Feuil1!$G$4</c:f>
              <c:strCache>
                <c:ptCount val="1"/>
                <c:pt idx="0">
                  <c:v>Bien </c:v>
                </c:pt>
              </c:strCache>
            </c:strRef>
          </c:tx>
          <c:invertIfNegative val="0"/>
          <c:cat>
            <c:strRef>
              <c:f>Feuil1!$A$5:$C$13</c:f>
              <c:strCache>
                <c:ptCount val="8"/>
                <c:pt idx="0">
                  <c:v>Les affiches</c:v>
                </c:pt>
                <c:pt idx="1">
                  <c:v>Les endroits d'inscription</c:v>
                </c:pt>
                <c:pt idx="2">
                  <c:v>les services</c:v>
                </c:pt>
                <c:pt idx="3">
                  <c:v>L'équipe d'orientation</c:v>
                </c:pt>
                <c:pt idx="4">
                  <c:v>L'accès à l'internet</c:v>
                </c:pt>
                <c:pt idx="5">
                  <c:v>L'accueil</c:v>
                </c:pt>
                <c:pt idx="6">
                  <c:v>connaissance devoirs/droits</c:v>
                </c:pt>
                <c:pt idx="7">
                  <c:v>Satisfaction des services</c:v>
                </c:pt>
              </c:strCache>
            </c:strRef>
          </c:cat>
          <c:val>
            <c:numRef>
              <c:f>Feuil1!$G$5:$G$13</c:f>
              <c:numCache>
                <c:formatCode>General</c:formatCode>
                <c:ptCount val="9"/>
                <c:pt idx="0">
                  <c:v>46.89</c:v>
                </c:pt>
                <c:pt idx="1">
                  <c:v>43.790000000000013</c:v>
                </c:pt>
                <c:pt idx="2">
                  <c:v>40.68</c:v>
                </c:pt>
                <c:pt idx="3">
                  <c:v>47.93</c:v>
                </c:pt>
                <c:pt idx="4">
                  <c:v>49.31</c:v>
                </c:pt>
                <c:pt idx="5">
                  <c:v>46.55</c:v>
                </c:pt>
                <c:pt idx="6">
                  <c:v>44.82</c:v>
                </c:pt>
                <c:pt idx="7">
                  <c:v>48.27</c:v>
                </c:pt>
              </c:numCache>
            </c:numRef>
          </c:val>
        </c:ser>
        <c:ser>
          <c:idx val="4"/>
          <c:order val="4"/>
          <c:tx>
            <c:strRef>
              <c:f>Feuil1!$H$4</c:f>
              <c:strCache>
                <c:ptCount val="1"/>
                <c:pt idx="0">
                  <c:v>Très bien</c:v>
                </c:pt>
              </c:strCache>
            </c:strRef>
          </c:tx>
          <c:invertIfNegative val="0"/>
          <c:cat>
            <c:strRef>
              <c:f>Feuil1!$A$5:$C$13</c:f>
              <c:strCache>
                <c:ptCount val="8"/>
                <c:pt idx="0">
                  <c:v>Les affiches</c:v>
                </c:pt>
                <c:pt idx="1">
                  <c:v>Les endroits d'inscription</c:v>
                </c:pt>
                <c:pt idx="2">
                  <c:v>les services</c:v>
                </c:pt>
                <c:pt idx="3">
                  <c:v>L'équipe d'orientation</c:v>
                </c:pt>
                <c:pt idx="4">
                  <c:v>L'accès à l'internet</c:v>
                </c:pt>
                <c:pt idx="5">
                  <c:v>L'accueil</c:v>
                </c:pt>
                <c:pt idx="6">
                  <c:v>connaissance devoirs/droits</c:v>
                </c:pt>
                <c:pt idx="7">
                  <c:v>Satisfaction des services</c:v>
                </c:pt>
              </c:strCache>
            </c:strRef>
          </c:cat>
          <c:val>
            <c:numRef>
              <c:f>Feuil1!$H$5:$H$13</c:f>
              <c:numCache>
                <c:formatCode>General</c:formatCode>
                <c:ptCount val="9"/>
                <c:pt idx="0">
                  <c:v>33.1</c:v>
                </c:pt>
                <c:pt idx="1">
                  <c:v>37.58</c:v>
                </c:pt>
                <c:pt idx="2">
                  <c:v>41.37</c:v>
                </c:pt>
                <c:pt idx="3">
                  <c:v>38.270000000000003</c:v>
                </c:pt>
                <c:pt idx="4">
                  <c:v>36.200000000000003</c:v>
                </c:pt>
                <c:pt idx="5">
                  <c:v>37.93</c:v>
                </c:pt>
                <c:pt idx="6">
                  <c:v>41.37</c:v>
                </c:pt>
                <c:pt idx="7">
                  <c:v>39.65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6471680"/>
        <c:axId val="136473216"/>
        <c:axId val="0"/>
      </c:bar3DChart>
      <c:catAx>
        <c:axId val="136471680"/>
        <c:scaling>
          <c:orientation val="minMax"/>
        </c:scaling>
        <c:delete val="0"/>
        <c:axPos val="b"/>
        <c:majorTickMark val="out"/>
        <c:minorTickMark val="none"/>
        <c:tickLblPos val="nextTo"/>
        <c:crossAx val="136473216"/>
        <c:crosses val="autoZero"/>
        <c:auto val="1"/>
        <c:lblAlgn val="ctr"/>
        <c:lblOffset val="100"/>
        <c:noMultiLvlLbl val="0"/>
      </c:catAx>
      <c:valAx>
        <c:axId val="1364732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64716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effectLst>
      <a:outerShdw blurRad="50800" dist="38100" dir="2700000" algn="tl" rotWithShape="0">
        <a:prstClr val="black">
          <a:alpha val="40000"/>
        </a:prstClr>
      </a:outerShdw>
    </a:effectLst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Feuil1!$E$26</c:f>
              <c:strCache>
                <c:ptCount val="1"/>
                <c:pt idx="0">
                  <c:v>faible</c:v>
                </c:pt>
              </c:strCache>
            </c:strRef>
          </c:tx>
          <c:invertIfNegative val="0"/>
          <c:cat>
            <c:strRef>
              <c:f>Feuil1!$B$27:$D$34</c:f>
              <c:strCache>
                <c:ptCount val="8"/>
                <c:pt idx="0">
                  <c:v>Les affiches</c:v>
                </c:pt>
                <c:pt idx="1">
                  <c:v>Les endroits d'inscription</c:v>
                </c:pt>
                <c:pt idx="2">
                  <c:v>les services</c:v>
                </c:pt>
                <c:pt idx="3">
                  <c:v>L'équipe d'orientation</c:v>
                </c:pt>
                <c:pt idx="4">
                  <c:v>L'accès à l'internet</c:v>
                </c:pt>
                <c:pt idx="5">
                  <c:v>L'accueil</c:v>
                </c:pt>
                <c:pt idx="6">
                  <c:v>connaissance devoirs/droits</c:v>
                </c:pt>
                <c:pt idx="7">
                  <c:v>Satisfaction des services</c:v>
                </c:pt>
              </c:strCache>
            </c:strRef>
          </c:cat>
          <c:val>
            <c:numRef>
              <c:f>Feuil1!$E$27:$E$34</c:f>
              <c:numCache>
                <c:formatCode>General</c:formatCode>
                <c:ptCount val="8"/>
                <c:pt idx="0">
                  <c:v>4.57</c:v>
                </c:pt>
                <c:pt idx="1">
                  <c:v>8</c:v>
                </c:pt>
                <c:pt idx="2">
                  <c:v>4.57</c:v>
                </c:pt>
                <c:pt idx="3">
                  <c:v>2.2799999999999998</c:v>
                </c:pt>
                <c:pt idx="4">
                  <c:v>0.56999999999999995</c:v>
                </c:pt>
                <c:pt idx="5">
                  <c:v>1.1399999999999995</c:v>
                </c:pt>
                <c:pt idx="6">
                  <c:v>5.71</c:v>
                </c:pt>
                <c:pt idx="7">
                  <c:v>0.56999999999999995</c:v>
                </c:pt>
              </c:numCache>
            </c:numRef>
          </c:val>
        </c:ser>
        <c:ser>
          <c:idx val="1"/>
          <c:order val="1"/>
          <c:tx>
            <c:strRef>
              <c:f>Feuil1!$F$26</c:f>
              <c:strCache>
                <c:ptCount val="1"/>
                <c:pt idx="0">
                  <c:v>Moyenne </c:v>
                </c:pt>
              </c:strCache>
            </c:strRef>
          </c:tx>
          <c:invertIfNegative val="0"/>
          <c:cat>
            <c:strRef>
              <c:f>Feuil1!$B$27:$D$34</c:f>
              <c:strCache>
                <c:ptCount val="8"/>
                <c:pt idx="0">
                  <c:v>Les affiches</c:v>
                </c:pt>
                <c:pt idx="1">
                  <c:v>Les endroits d'inscription</c:v>
                </c:pt>
                <c:pt idx="2">
                  <c:v>les services</c:v>
                </c:pt>
                <c:pt idx="3">
                  <c:v>L'équipe d'orientation</c:v>
                </c:pt>
                <c:pt idx="4">
                  <c:v>L'accès à l'internet</c:v>
                </c:pt>
                <c:pt idx="5">
                  <c:v>L'accueil</c:v>
                </c:pt>
                <c:pt idx="6">
                  <c:v>connaissance devoirs/droits</c:v>
                </c:pt>
                <c:pt idx="7">
                  <c:v>Satisfaction des services</c:v>
                </c:pt>
              </c:strCache>
            </c:strRef>
          </c:cat>
          <c:val>
            <c:numRef>
              <c:f>Feuil1!$F$27:$F$34</c:f>
              <c:numCache>
                <c:formatCode>General</c:formatCode>
                <c:ptCount val="8"/>
                <c:pt idx="0">
                  <c:v>6.85</c:v>
                </c:pt>
                <c:pt idx="1">
                  <c:v>13.71</c:v>
                </c:pt>
                <c:pt idx="2">
                  <c:v>2.8499999999999992</c:v>
                </c:pt>
                <c:pt idx="3">
                  <c:v>4</c:v>
                </c:pt>
                <c:pt idx="4">
                  <c:v>4.57</c:v>
                </c:pt>
                <c:pt idx="5">
                  <c:v>2.2799999999999998</c:v>
                </c:pt>
                <c:pt idx="6">
                  <c:v>8</c:v>
                </c:pt>
                <c:pt idx="7">
                  <c:v>5.71</c:v>
                </c:pt>
              </c:numCache>
            </c:numRef>
          </c:val>
        </c:ser>
        <c:ser>
          <c:idx val="2"/>
          <c:order val="2"/>
          <c:tx>
            <c:strRef>
              <c:f>Feuil1!$G$26</c:f>
              <c:strCache>
                <c:ptCount val="1"/>
                <c:pt idx="0">
                  <c:v>Assez Bien </c:v>
                </c:pt>
              </c:strCache>
            </c:strRef>
          </c:tx>
          <c:invertIfNegative val="0"/>
          <c:cat>
            <c:strRef>
              <c:f>Feuil1!$B$27:$D$34</c:f>
              <c:strCache>
                <c:ptCount val="8"/>
                <c:pt idx="0">
                  <c:v>Les affiches</c:v>
                </c:pt>
                <c:pt idx="1">
                  <c:v>Les endroits d'inscription</c:v>
                </c:pt>
                <c:pt idx="2">
                  <c:v>les services</c:v>
                </c:pt>
                <c:pt idx="3">
                  <c:v>L'équipe d'orientation</c:v>
                </c:pt>
                <c:pt idx="4">
                  <c:v>L'accès à l'internet</c:v>
                </c:pt>
                <c:pt idx="5">
                  <c:v>L'accueil</c:v>
                </c:pt>
                <c:pt idx="6">
                  <c:v>connaissance devoirs/droits</c:v>
                </c:pt>
                <c:pt idx="7">
                  <c:v>Satisfaction des services</c:v>
                </c:pt>
              </c:strCache>
            </c:strRef>
          </c:cat>
          <c:val>
            <c:numRef>
              <c:f>Feuil1!$G$27:$G$34</c:f>
              <c:numCache>
                <c:formatCode>General</c:formatCode>
                <c:ptCount val="8"/>
                <c:pt idx="0">
                  <c:v>13.14</c:v>
                </c:pt>
                <c:pt idx="1">
                  <c:v>16</c:v>
                </c:pt>
                <c:pt idx="2">
                  <c:v>12.57</c:v>
                </c:pt>
                <c:pt idx="3">
                  <c:v>4</c:v>
                </c:pt>
                <c:pt idx="4">
                  <c:v>4.57</c:v>
                </c:pt>
                <c:pt idx="5">
                  <c:v>9.7100000000000009</c:v>
                </c:pt>
                <c:pt idx="6">
                  <c:v>12.57</c:v>
                </c:pt>
                <c:pt idx="7">
                  <c:v>11.42</c:v>
                </c:pt>
              </c:numCache>
            </c:numRef>
          </c:val>
        </c:ser>
        <c:ser>
          <c:idx val="3"/>
          <c:order val="3"/>
          <c:tx>
            <c:strRef>
              <c:f>Feuil1!$H$26</c:f>
              <c:strCache>
                <c:ptCount val="1"/>
                <c:pt idx="0">
                  <c:v>Bien </c:v>
                </c:pt>
              </c:strCache>
            </c:strRef>
          </c:tx>
          <c:invertIfNegative val="0"/>
          <c:cat>
            <c:strRef>
              <c:f>Feuil1!$B$27:$D$34</c:f>
              <c:strCache>
                <c:ptCount val="8"/>
                <c:pt idx="0">
                  <c:v>Les affiches</c:v>
                </c:pt>
                <c:pt idx="1">
                  <c:v>Les endroits d'inscription</c:v>
                </c:pt>
                <c:pt idx="2">
                  <c:v>les services</c:v>
                </c:pt>
                <c:pt idx="3">
                  <c:v>L'équipe d'orientation</c:v>
                </c:pt>
                <c:pt idx="4">
                  <c:v>L'accès à l'internet</c:v>
                </c:pt>
                <c:pt idx="5">
                  <c:v>L'accueil</c:v>
                </c:pt>
                <c:pt idx="6">
                  <c:v>connaissance devoirs/droits</c:v>
                </c:pt>
                <c:pt idx="7">
                  <c:v>Satisfaction des services</c:v>
                </c:pt>
              </c:strCache>
            </c:strRef>
          </c:cat>
          <c:val>
            <c:numRef>
              <c:f>Feuil1!$H$27:$H$34</c:f>
              <c:numCache>
                <c:formatCode>General</c:formatCode>
                <c:ptCount val="8"/>
                <c:pt idx="0">
                  <c:v>24</c:v>
                </c:pt>
                <c:pt idx="1">
                  <c:v>27.419999999999995</c:v>
                </c:pt>
                <c:pt idx="2">
                  <c:v>24</c:v>
                </c:pt>
                <c:pt idx="3">
                  <c:v>15.42</c:v>
                </c:pt>
                <c:pt idx="4">
                  <c:v>13.71</c:v>
                </c:pt>
                <c:pt idx="5">
                  <c:v>25.71</c:v>
                </c:pt>
                <c:pt idx="6">
                  <c:v>28</c:v>
                </c:pt>
                <c:pt idx="7">
                  <c:v>26.279999999999994</c:v>
                </c:pt>
              </c:numCache>
            </c:numRef>
          </c:val>
        </c:ser>
        <c:ser>
          <c:idx val="4"/>
          <c:order val="4"/>
          <c:tx>
            <c:strRef>
              <c:f>Feuil1!$I$26</c:f>
              <c:strCache>
                <c:ptCount val="1"/>
                <c:pt idx="0">
                  <c:v>Très bien</c:v>
                </c:pt>
              </c:strCache>
            </c:strRef>
          </c:tx>
          <c:invertIfNegative val="0"/>
          <c:cat>
            <c:strRef>
              <c:f>Feuil1!$B$27:$D$34</c:f>
              <c:strCache>
                <c:ptCount val="8"/>
                <c:pt idx="0">
                  <c:v>Les affiches</c:v>
                </c:pt>
                <c:pt idx="1">
                  <c:v>Les endroits d'inscription</c:v>
                </c:pt>
                <c:pt idx="2">
                  <c:v>les services</c:v>
                </c:pt>
                <c:pt idx="3">
                  <c:v>L'équipe d'orientation</c:v>
                </c:pt>
                <c:pt idx="4">
                  <c:v>L'accès à l'internet</c:v>
                </c:pt>
                <c:pt idx="5">
                  <c:v>L'accueil</c:v>
                </c:pt>
                <c:pt idx="6">
                  <c:v>connaissance devoirs/droits</c:v>
                </c:pt>
                <c:pt idx="7">
                  <c:v>Satisfaction des services</c:v>
                </c:pt>
              </c:strCache>
            </c:strRef>
          </c:cat>
          <c:val>
            <c:numRef>
              <c:f>Feuil1!$I$27:$I$34</c:f>
              <c:numCache>
                <c:formatCode>General</c:formatCode>
                <c:ptCount val="8"/>
                <c:pt idx="0">
                  <c:v>51.42</c:v>
                </c:pt>
                <c:pt idx="1">
                  <c:v>34.42</c:v>
                </c:pt>
                <c:pt idx="2">
                  <c:v>55.42</c:v>
                </c:pt>
                <c:pt idx="3">
                  <c:v>73.28</c:v>
                </c:pt>
                <c:pt idx="4">
                  <c:v>78.28</c:v>
                </c:pt>
                <c:pt idx="5">
                  <c:v>63.42</c:v>
                </c:pt>
                <c:pt idx="6">
                  <c:v>45.14</c:v>
                </c:pt>
                <c:pt idx="7">
                  <c:v>56.57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36500736"/>
        <c:axId val="136502272"/>
        <c:axId val="0"/>
      </c:bar3DChart>
      <c:catAx>
        <c:axId val="1365007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6502272"/>
        <c:crosses val="autoZero"/>
        <c:auto val="1"/>
        <c:lblAlgn val="ctr"/>
        <c:lblOffset val="100"/>
        <c:noMultiLvlLbl val="0"/>
      </c:catAx>
      <c:valAx>
        <c:axId val="1365022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6500736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overlay val="0"/>
    </c:legend>
    <c:plotVisOnly val="1"/>
    <c:dispBlanksAs val="gap"/>
    <c:showDLblsOverMax val="0"/>
  </c:chart>
  <c:spPr>
    <a:effectLst>
      <a:outerShdw blurRad="50800" dist="38100" dir="2700000" algn="tl" rotWithShape="0">
        <a:prstClr val="black">
          <a:alpha val="40000"/>
        </a:prstClr>
      </a:outerShdw>
    </a:effectLst>
  </c:sp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28"/>
    </mc:Choice>
    <mc:Fallback>
      <c:style val="28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Feuil1!$B$20</c:f>
              <c:strCache>
                <c:ptCount val="1"/>
                <c:pt idx="0">
                  <c:v>Insatisfait</c:v>
                </c:pt>
              </c:strCache>
            </c:strRef>
          </c:tx>
          <c:spPr>
            <a:solidFill>
              <a:schemeClr val="accent2">
                <a:lumMod val="50000"/>
              </a:schemeClr>
            </a:solidFill>
          </c:spPr>
          <c:invertIfNegative val="0"/>
          <c:cat>
            <c:strRef>
              <c:f>Feuil1!$A$21:$A$27</c:f>
              <c:strCache>
                <c:ptCount val="7"/>
                <c:pt idx="0">
                  <c:v>Les affiches liées aux inscriptions </c:v>
                </c:pt>
                <c:pt idx="1">
                  <c:v>Accessibilité aux structures liées aux inscriptions</c:v>
                </c:pt>
                <c:pt idx="2">
                  <c:v>La qualité des services offerts</c:v>
                </c:pt>
                <c:pt idx="3">
                  <c:v>L'équipe de l'orientation</c:v>
                </c:pt>
                <c:pt idx="4">
                  <c:v>L’accès à internet </c:v>
                </c:pt>
                <c:pt idx="5">
                  <c:v>La qualité de l’accueil </c:v>
                </c:pt>
                <c:pt idx="6">
                  <c:v>Connaissance des devoirs et des droits </c:v>
                </c:pt>
              </c:strCache>
            </c:strRef>
          </c:cat>
          <c:val>
            <c:numRef>
              <c:f>Feuil1!$B$21:$B$27</c:f>
              <c:numCache>
                <c:formatCode>0</c:formatCode>
                <c:ptCount val="7"/>
                <c:pt idx="0">
                  <c:v>2.4390243902439024</c:v>
                </c:pt>
                <c:pt idx="1">
                  <c:v>5.8823529411764701</c:v>
                </c:pt>
                <c:pt idx="2">
                  <c:v>1.1764705882352942</c:v>
                </c:pt>
                <c:pt idx="3">
                  <c:v>3.225806451612903</c:v>
                </c:pt>
                <c:pt idx="4">
                  <c:v>3.5714285714285712</c:v>
                </c:pt>
                <c:pt idx="5">
                  <c:v>5.1282051282051277</c:v>
                </c:pt>
                <c:pt idx="6">
                  <c:v>13.095238095238097</c:v>
                </c:pt>
              </c:numCache>
            </c:numRef>
          </c:val>
        </c:ser>
        <c:ser>
          <c:idx val="1"/>
          <c:order val="1"/>
          <c:tx>
            <c:strRef>
              <c:f>Feuil1!$C$20</c:f>
              <c:strCache>
                <c:ptCount val="1"/>
                <c:pt idx="0">
                  <c:v>Moyennement Satisfait</c:v>
                </c:pt>
              </c:strCache>
            </c:strRef>
          </c:tx>
          <c:invertIfNegative val="0"/>
          <c:cat>
            <c:strRef>
              <c:f>Feuil1!$A$21:$A$27</c:f>
              <c:strCache>
                <c:ptCount val="7"/>
                <c:pt idx="0">
                  <c:v>Les affiches liées aux inscriptions </c:v>
                </c:pt>
                <c:pt idx="1">
                  <c:v>Accessibilité aux structures liées aux inscriptions</c:v>
                </c:pt>
                <c:pt idx="2">
                  <c:v>La qualité des services offerts</c:v>
                </c:pt>
                <c:pt idx="3">
                  <c:v>L'équipe de l'orientation</c:v>
                </c:pt>
                <c:pt idx="4">
                  <c:v>L’accès à internet </c:v>
                </c:pt>
                <c:pt idx="5">
                  <c:v>La qualité de l’accueil </c:v>
                </c:pt>
                <c:pt idx="6">
                  <c:v>Connaissance des devoirs et des droits </c:v>
                </c:pt>
              </c:strCache>
            </c:strRef>
          </c:cat>
          <c:val>
            <c:numRef>
              <c:f>Feuil1!$C$21:$C$27</c:f>
              <c:numCache>
                <c:formatCode>0</c:formatCode>
                <c:ptCount val="7"/>
                <c:pt idx="0">
                  <c:v>9.7560975609756095</c:v>
                </c:pt>
                <c:pt idx="1">
                  <c:v>15.294117647058824</c:v>
                </c:pt>
                <c:pt idx="2">
                  <c:v>11.76470588235294</c:v>
                </c:pt>
                <c:pt idx="3">
                  <c:v>6.4516129032258061</c:v>
                </c:pt>
                <c:pt idx="4">
                  <c:v>7.1428571428571423</c:v>
                </c:pt>
                <c:pt idx="5">
                  <c:v>8.9743589743589745</c:v>
                </c:pt>
                <c:pt idx="6">
                  <c:v>8.3333333333333321</c:v>
                </c:pt>
              </c:numCache>
            </c:numRef>
          </c:val>
        </c:ser>
        <c:ser>
          <c:idx val="2"/>
          <c:order val="2"/>
          <c:tx>
            <c:strRef>
              <c:f>Feuil1!$D$20</c:f>
              <c:strCache>
                <c:ptCount val="1"/>
                <c:pt idx="0">
                  <c:v>Satisfait</c:v>
                </c:pt>
              </c:strCache>
            </c:strRef>
          </c:tx>
          <c:spPr>
            <a:solidFill>
              <a:schemeClr val="accent2">
                <a:lumMod val="20000"/>
                <a:lumOff val="80000"/>
              </a:schemeClr>
            </a:solidFill>
          </c:spPr>
          <c:invertIfNegative val="0"/>
          <c:cat>
            <c:strRef>
              <c:f>Feuil1!$A$21:$A$27</c:f>
              <c:strCache>
                <c:ptCount val="7"/>
                <c:pt idx="0">
                  <c:v>Les affiches liées aux inscriptions </c:v>
                </c:pt>
                <c:pt idx="1">
                  <c:v>Accessibilité aux structures liées aux inscriptions</c:v>
                </c:pt>
                <c:pt idx="2">
                  <c:v>La qualité des services offerts</c:v>
                </c:pt>
                <c:pt idx="3">
                  <c:v>L'équipe de l'orientation</c:v>
                </c:pt>
                <c:pt idx="4">
                  <c:v>L’accès à internet </c:v>
                </c:pt>
                <c:pt idx="5">
                  <c:v>La qualité de l’accueil </c:v>
                </c:pt>
                <c:pt idx="6">
                  <c:v>Connaissance des devoirs et des droits </c:v>
                </c:pt>
              </c:strCache>
            </c:strRef>
          </c:cat>
          <c:val>
            <c:numRef>
              <c:f>Feuil1!$D$21:$D$27</c:f>
              <c:numCache>
                <c:formatCode>0</c:formatCode>
                <c:ptCount val="7"/>
                <c:pt idx="0">
                  <c:v>87.804878048780495</c:v>
                </c:pt>
                <c:pt idx="1">
                  <c:v>78.82352941176471</c:v>
                </c:pt>
                <c:pt idx="2">
                  <c:v>87.058823529411768</c:v>
                </c:pt>
                <c:pt idx="3">
                  <c:v>90.322580645161281</c:v>
                </c:pt>
                <c:pt idx="4">
                  <c:v>89.285714285714292</c:v>
                </c:pt>
                <c:pt idx="5">
                  <c:v>85.897435897435898</c:v>
                </c:pt>
                <c:pt idx="6">
                  <c:v>78.571428571428569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4397056"/>
        <c:axId val="144398592"/>
        <c:axId val="0"/>
      </c:bar3DChart>
      <c:catAx>
        <c:axId val="144397056"/>
        <c:scaling>
          <c:orientation val="minMax"/>
        </c:scaling>
        <c:delete val="0"/>
        <c:axPos val="l"/>
        <c:majorTickMark val="out"/>
        <c:minorTickMark val="none"/>
        <c:tickLblPos val="nextTo"/>
        <c:crossAx val="144398592"/>
        <c:crosses val="autoZero"/>
        <c:auto val="1"/>
        <c:lblAlgn val="ctr"/>
        <c:lblOffset val="100"/>
        <c:noMultiLvlLbl val="0"/>
      </c:catAx>
      <c:valAx>
        <c:axId val="144398592"/>
        <c:scaling>
          <c:orientation val="minMax"/>
        </c:scaling>
        <c:delete val="0"/>
        <c:axPos val="b"/>
        <c:majorGridlines/>
        <c:numFmt formatCode="0" sourceLinked="1"/>
        <c:majorTickMark val="out"/>
        <c:minorTickMark val="none"/>
        <c:tickLblPos val="nextTo"/>
        <c:crossAx val="14439705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7718095968468304"/>
          <c:y val="0.39412798809984867"/>
          <c:w val="0.15298136572113097"/>
          <c:h val="0.34445253769508338"/>
        </c:manualLayout>
      </c:layout>
      <c:overlay val="0"/>
    </c:legend>
    <c:plotVisOnly val="1"/>
    <c:dispBlanksAs val="gap"/>
    <c:showDLblsOverMax val="0"/>
  </c:chart>
  <c:spPr>
    <a:ln>
      <a:solidFill>
        <a:schemeClr val="tx1">
          <a:lumMod val="95000"/>
          <a:lumOff val="5000"/>
        </a:schemeClr>
      </a:solidFill>
    </a:ln>
    <a:effectLst>
      <a:outerShdw blurRad="50800" dist="38100" dir="2700000" algn="tl" rotWithShape="0">
        <a:prstClr val="black">
          <a:alpha val="40000"/>
        </a:prstClr>
      </a:outerShdw>
    </a:effectLst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Feuil1!$B$41</c:f>
              <c:strCache>
                <c:ptCount val="1"/>
                <c:pt idx="0">
                  <c:v>Insatisfait</c:v>
                </c:pt>
              </c:strCache>
            </c:strRef>
          </c:tx>
          <c:spPr>
            <a:solidFill>
              <a:schemeClr val="accent3">
                <a:lumMod val="50000"/>
              </a:schemeClr>
            </a:solidFill>
          </c:spPr>
          <c:invertIfNegative val="0"/>
          <c:cat>
            <c:strRef>
              <c:f>Feuil1!$A$42:$A$48</c:f>
              <c:strCache>
                <c:ptCount val="7"/>
                <c:pt idx="0">
                  <c:v>Les affiches liées aux inscriptions </c:v>
                </c:pt>
                <c:pt idx="1">
                  <c:v>Accessibilité aux structures liées aux inscriptions</c:v>
                </c:pt>
                <c:pt idx="2">
                  <c:v>La qualité des services offerts</c:v>
                </c:pt>
                <c:pt idx="3">
                  <c:v>L'équipe de l'orientation</c:v>
                </c:pt>
                <c:pt idx="4">
                  <c:v>L’accès à internet </c:v>
                </c:pt>
                <c:pt idx="5">
                  <c:v>La qualité de l’accueil </c:v>
                </c:pt>
                <c:pt idx="6">
                  <c:v>Connaissance des devoirs et des droits </c:v>
                </c:pt>
              </c:strCache>
            </c:strRef>
          </c:cat>
          <c:val>
            <c:numRef>
              <c:f>Feuil1!$B$42:$B$48</c:f>
              <c:numCache>
                <c:formatCode>0</c:formatCode>
                <c:ptCount val="7"/>
                <c:pt idx="0">
                  <c:v>10</c:v>
                </c:pt>
                <c:pt idx="1">
                  <c:v>8</c:v>
                </c:pt>
                <c:pt idx="2">
                  <c:v>14.583333333333334</c:v>
                </c:pt>
                <c:pt idx="3">
                  <c:v>2.0408163265306123</c:v>
                </c:pt>
                <c:pt idx="4">
                  <c:v>2.0408163265306123</c:v>
                </c:pt>
                <c:pt idx="5">
                  <c:v>6.1224489795918364</c:v>
                </c:pt>
                <c:pt idx="6">
                  <c:v>10</c:v>
                </c:pt>
              </c:numCache>
            </c:numRef>
          </c:val>
        </c:ser>
        <c:ser>
          <c:idx val="1"/>
          <c:order val="1"/>
          <c:tx>
            <c:strRef>
              <c:f>Feuil1!$C$41</c:f>
              <c:strCache>
                <c:ptCount val="1"/>
                <c:pt idx="0">
                  <c:v>Moyennement Satisfait</c:v>
                </c:pt>
              </c:strCache>
            </c:strRef>
          </c:tx>
          <c:invertIfNegative val="0"/>
          <c:cat>
            <c:strRef>
              <c:f>Feuil1!$A$42:$A$48</c:f>
              <c:strCache>
                <c:ptCount val="7"/>
                <c:pt idx="0">
                  <c:v>Les affiches liées aux inscriptions </c:v>
                </c:pt>
                <c:pt idx="1">
                  <c:v>Accessibilité aux structures liées aux inscriptions</c:v>
                </c:pt>
                <c:pt idx="2">
                  <c:v>La qualité des services offerts</c:v>
                </c:pt>
                <c:pt idx="3">
                  <c:v>L'équipe de l'orientation</c:v>
                </c:pt>
                <c:pt idx="4">
                  <c:v>L’accès à internet </c:v>
                </c:pt>
                <c:pt idx="5">
                  <c:v>La qualité de l’accueil </c:v>
                </c:pt>
                <c:pt idx="6">
                  <c:v>Connaissance des devoirs et des droits </c:v>
                </c:pt>
              </c:strCache>
            </c:strRef>
          </c:cat>
          <c:val>
            <c:numRef>
              <c:f>Feuil1!$C$42:$C$48</c:f>
              <c:numCache>
                <c:formatCode>0</c:formatCode>
                <c:ptCount val="7"/>
                <c:pt idx="0">
                  <c:v>10</c:v>
                </c:pt>
                <c:pt idx="1">
                  <c:v>20</c:v>
                </c:pt>
                <c:pt idx="2">
                  <c:v>8.3333333333333321</c:v>
                </c:pt>
                <c:pt idx="3">
                  <c:v>8.1632653061224492</c:v>
                </c:pt>
                <c:pt idx="4">
                  <c:v>4.0816326530612246</c:v>
                </c:pt>
                <c:pt idx="5">
                  <c:v>8.1632653061224492</c:v>
                </c:pt>
                <c:pt idx="6">
                  <c:v>14.000000000000002</c:v>
                </c:pt>
              </c:numCache>
            </c:numRef>
          </c:val>
        </c:ser>
        <c:ser>
          <c:idx val="2"/>
          <c:order val="2"/>
          <c:tx>
            <c:strRef>
              <c:f>Feuil1!$D$41</c:f>
              <c:strCache>
                <c:ptCount val="1"/>
                <c:pt idx="0">
                  <c:v>Satisfait</c:v>
                </c:pt>
              </c:strCache>
            </c:strRef>
          </c:tx>
          <c:spPr>
            <a:solidFill>
              <a:schemeClr val="accent3">
                <a:lumMod val="20000"/>
                <a:lumOff val="80000"/>
              </a:schemeClr>
            </a:solidFill>
          </c:spPr>
          <c:invertIfNegative val="0"/>
          <c:cat>
            <c:strRef>
              <c:f>Feuil1!$A$42:$A$48</c:f>
              <c:strCache>
                <c:ptCount val="7"/>
                <c:pt idx="0">
                  <c:v>Les affiches liées aux inscriptions </c:v>
                </c:pt>
                <c:pt idx="1">
                  <c:v>Accessibilité aux structures liées aux inscriptions</c:v>
                </c:pt>
                <c:pt idx="2">
                  <c:v>La qualité des services offerts</c:v>
                </c:pt>
                <c:pt idx="3">
                  <c:v>L'équipe de l'orientation</c:v>
                </c:pt>
                <c:pt idx="4">
                  <c:v>L’accès à internet </c:v>
                </c:pt>
                <c:pt idx="5">
                  <c:v>La qualité de l’accueil </c:v>
                </c:pt>
                <c:pt idx="6">
                  <c:v>Connaissance des devoirs et des droits </c:v>
                </c:pt>
              </c:strCache>
            </c:strRef>
          </c:cat>
          <c:val>
            <c:numRef>
              <c:f>Feuil1!$D$42:$D$48</c:f>
              <c:numCache>
                <c:formatCode>0</c:formatCode>
                <c:ptCount val="7"/>
                <c:pt idx="0">
                  <c:v>80</c:v>
                </c:pt>
                <c:pt idx="1">
                  <c:v>72</c:v>
                </c:pt>
                <c:pt idx="2">
                  <c:v>77.083333333333343</c:v>
                </c:pt>
                <c:pt idx="3">
                  <c:v>89.795918367346943</c:v>
                </c:pt>
                <c:pt idx="4">
                  <c:v>93.877551020408163</c:v>
                </c:pt>
                <c:pt idx="5">
                  <c:v>85.714285714285708</c:v>
                </c:pt>
                <c:pt idx="6">
                  <c:v>76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4407936"/>
        <c:axId val="144417920"/>
        <c:axId val="0"/>
      </c:bar3DChart>
      <c:catAx>
        <c:axId val="144407936"/>
        <c:scaling>
          <c:orientation val="minMax"/>
        </c:scaling>
        <c:delete val="0"/>
        <c:axPos val="l"/>
        <c:majorTickMark val="out"/>
        <c:minorTickMark val="none"/>
        <c:tickLblPos val="nextTo"/>
        <c:crossAx val="144417920"/>
        <c:crosses val="autoZero"/>
        <c:auto val="1"/>
        <c:lblAlgn val="ctr"/>
        <c:lblOffset val="100"/>
        <c:noMultiLvlLbl val="0"/>
      </c:catAx>
      <c:valAx>
        <c:axId val="144417920"/>
        <c:scaling>
          <c:orientation val="minMax"/>
        </c:scaling>
        <c:delete val="0"/>
        <c:axPos val="b"/>
        <c:majorGridlines/>
        <c:numFmt formatCode="0" sourceLinked="1"/>
        <c:majorTickMark val="out"/>
        <c:minorTickMark val="none"/>
        <c:tickLblPos val="nextTo"/>
        <c:crossAx val="14440793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7540044223924065"/>
          <c:y val="0.40277989444867784"/>
          <c:w val="0.1549032473881943"/>
          <c:h val="0.31630372816301205"/>
        </c:manualLayout>
      </c:layout>
      <c:overlay val="0"/>
    </c:legend>
    <c:plotVisOnly val="1"/>
    <c:dispBlanksAs val="gap"/>
    <c:showDLblsOverMax val="0"/>
  </c:chart>
  <c:spPr>
    <a:ln>
      <a:solidFill>
        <a:schemeClr val="tx1">
          <a:lumMod val="95000"/>
          <a:lumOff val="5000"/>
        </a:schemeClr>
      </a:solidFill>
    </a:ln>
    <a:effectLst>
      <a:outerShdw blurRad="50800" dist="38100" dir="2700000" algn="tl" rotWithShape="0">
        <a:prstClr val="black">
          <a:alpha val="40000"/>
        </a:prstClr>
      </a:outerShdw>
    </a:effectLst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27"/>
    </mc:Choice>
    <mc:Fallback>
      <c:style val="27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Feuil1!$B$4</c:f>
              <c:strCache>
                <c:ptCount val="1"/>
                <c:pt idx="0">
                  <c:v>Insatisfait</c:v>
                </c:pt>
              </c:strCache>
            </c:strRef>
          </c:tx>
          <c:spPr>
            <a:solidFill>
              <a:schemeClr val="tx2">
                <a:lumMod val="75000"/>
              </a:schemeClr>
            </a:solidFill>
          </c:spPr>
          <c:invertIfNegative val="0"/>
          <c:cat>
            <c:strRef>
              <c:f>Feuil1!$A$5:$A$11</c:f>
              <c:strCache>
                <c:ptCount val="7"/>
                <c:pt idx="0">
                  <c:v>Les affiches liées aux inscriptions </c:v>
                </c:pt>
                <c:pt idx="1">
                  <c:v>Accessibilité aux structures liées aux inscriptions</c:v>
                </c:pt>
                <c:pt idx="2">
                  <c:v>La qualité des services offerts</c:v>
                </c:pt>
                <c:pt idx="3">
                  <c:v>L'équipe de l'orientation</c:v>
                </c:pt>
                <c:pt idx="4">
                  <c:v>L’accès à internet </c:v>
                </c:pt>
                <c:pt idx="5">
                  <c:v>La qualité de l’accueil </c:v>
                </c:pt>
                <c:pt idx="6">
                  <c:v>Connaissance des devoirs et des droits </c:v>
                </c:pt>
              </c:strCache>
            </c:strRef>
          </c:cat>
          <c:val>
            <c:numRef>
              <c:f>Feuil1!$B$5:$B$11</c:f>
              <c:numCache>
                <c:formatCode>0</c:formatCode>
                <c:ptCount val="7"/>
                <c:pt idx="0">
                  <c:v>5.1546391752577314</c:v>
                </c:pt>
                <c:pt idx="1">
                  <c:v>7.9207920792079207</c:v>
                </c:pt>
                <c:pt idx="2">
                  <c:v>3.0612244897959182</c:v>
                </c:pt>
                <c:pt idx="3">
                  <c:v>1.9801980198019802</c:v>
                </c:pt>
                <c:pt idx="4">
                  <c:v>0.99009900990099009</c:v>
                </c:pt>
                <c:pt idx="5">
                  <c:v>0.96153846153846156</c:v>
                </c:pt>
                <c:pt idx="6">
                  <c:v>7.8431372549019605</c:v>
                </c:pt>
              </c:numCache>
            </c:numRef>
          </c:val>
        </c:ser>
        <c:ser>
          <c:idx val="1"/>
          <c:order val="1"/>
          <c:tx>
            <c:strRef>
              <c:f>Feuil1!$C$4</c:f>
              <c:strCache>
                <c:ptCount val="1"/>
                <c:pt idx="0">
                  <c:v>Moyennement Satisfait</c:v>
                </c:pt>
              </c:strCache>
            </c:strRef>
          </c:tx>
          <c:invertIfNegative val="0"/>
          <c:cat>
            <c:strRef>
              <c:f>Feuil1!$A$5:$A$11</c:f>
              <c:strCache>
                <c:ptCount val="7"/>
                <c:pt idx="0">
                  <c:v>Les affiches liées aux inscriptions </c:v>
                </c:pt>
                <c:pt idx="1">
                  <c:v>Accessibilité aux structures liées aux inscriptions</c:v>
                </c:pt>
                <c:pt idx="2">
                  <c:v>La qualité des services offerts</c:v>
                </c:pt>
                <c:pt idx="3">
                  <c:v>L'équipe de l'orientation</c:v>
                </c:pt>
                <c:pt idx="4">
                  <c:v>L’accès à internet </c:v>
                </c:pt>
                <c:pt idx="5">
                  <c:v>La qualité de l’accueil </c:v>
                </c:pt>
                <c:pt idx="6">
                  <c:v>Connaissance des devoirs et des droits </c:v>
                </c:pt>
              </c:strCache>
            </c:strRef>
          </c:cat>
          <c:val>
            <c:numRef>
              <c:f>Feuil1!$C$5:$C$11</c:f>
              <c:numCache>
                <c:formatCode>0</c:formatCode>
                <c:ptCount val="7"/>
                <c:pt idx="0">
                  <c:v>4.1237113402061851</c:v>
                </c:pt>
                <c:pt idx="1">
                  <c:v>4.9504950495049505</c:v>
                </c:pt>
                <c:pt idx="2">
                  <c:v>6.1224489795918364</c:v>
                </c:pt>
                <c:pt idx="3">
                  <c:v>6.9306930693069315</c:v>
                </c:pt>
                <c:pt idx="4">
                  <c:v>7.9207920792079207</c:v>
                </c:pt>
                <c:pt idx="5">
                  <c:v>8.6538461538461533</c:v>
                </c:pt>
                <c:pt idx="6">
                  <c:v>9.8039215686274517</c:v>
                </c:pt>
              </c:numCache>
            </c:numRef>
          </c:val>
        </c:ser>
        <c:ser>
          <c:idx val="2"/>
          <c:order val="2"/>
          <c:tx>
            <c:strRef>
              <c:f>Feuil1!$D$4</c:f>
              <c:strCache>
                <c:ptCount val="1"/>
                <c:pt idx="0">
                  <c:v>Satisfait</c:v>
                </c:pt>
              </c:strCache>
            </c:strRef>
          </c:tx>
          <c:spPr>
            <a:solidFill>
              <a:schemeClr val="accent1">
                <a:lumMod val="20000"/>
                <a:lumOff val="80000"/>
              </a:schemeClr>
            </a:solidFill>
          </c:spPr>
          <c:invertIfNegative val="0"/>
          <c:cat>
            <c:strRef>
              <c:f>Feuil1!$A$5:$A$11</c:f>
              <c:strCache>
                <c:ptCount val="7"/>
                <c:pt idx="0">
                  <c:v>Les affiches liées aux inscriptions </c:v>
                </c:pt>
                <c:pt idx="1">
                  <c:v>Accessibilité aux structures liées aux inscriptions</c:v>
                </c:pt>
                <c:pt idx="2">
                  <c:v>La qualité des services offerts</c:v>
                </c:pt>
                <c:pt idx="3">
                  <c:v>L'équipe de l'orientation</c:v>
                </c:pt>
                <c:pt idx="4">
                  <c:v>L’accès à internet </c:v>
                </c:pt>
                <c:pt idx="5">
                  <c:v>La qualité de l’accueil </c:v>
                </c:pt>
                <c:pt idx="6">
                  <c:v>Connaissance des devoirs et des droits </c:v>
                </c:pt>
              </c:strCache>
            </c:strRef>
          </c:cat>
          <c:val>
            <c:numRef>
              <c:f>Feuil1!$D$5:$D$11</c:f>
              <c:numCache>
                <c:formatCode>0</c:formatCode>
                <c:ptCount val="7"/>
                <c:pt idx="0">
                  <c:v>90.721649484536087</c:v>
                </c:pt>
                <c:pt idx="1">
                  <c:v>87.128712871287135</c:v>
                </c:pt>
                <c:pt idx="2">
                  <c:v>90.816326530612244</c:v>
                </c:pt>
                <c:pt idx="3">
                  <c:v>91.089108910891099</c:v>
                </c:pt>
                <c:pt idx="4">
                  <c:v>91.089108910891099</c:v>
                </c:pt>
                <c:pt idx="5">
                  <c:v>90.384615384615387</c:v>
                </c:pt>
                <c:pt idx="6">
                  <c:v>82.35294117647058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51460480"/>
        <c:axId val="151466368"/>
        <c:axId val="0"/>
      </c:bar3DChart>
      <c:catAx>
        <c:axId val="151460480"/>
        <c:scaling>
          <c:orientation val="minMax"/>
        </c:scaling>
        <c:delete val="0"/>
        <c:axPos val="l"/>
        <c:majorTickMark val="out"/>
        <c:minorTickMark val="none"/>
        <c:tickLblPos val="nextTo"/>
        <c:crossAx val="151466368"/>
        <c:crosses val="autoZero"/>
        <c:auto val="1"/>
        <c:lblAlgn val="ctr"/>
        <c:lblOffset val="100"/>
        <c:noMultiLvlLbl val="0"/>
      </c:catAx>
      <c:valAx>
        <c:axId val="151466368"/>
        <c:scaling>
          <c:orientation val="minMax"/>
        </c:scaling>
        <c:delete val="0"/>
        <c:axPos val="b"/>
        <c:majorGridlines/>
        <c:numFmt formatCode="0" sourceLinked="1"/>
        <c:majorTickMark val="out"/>
        <c:minorTickMark val="none"/>
        <c:tickLblPos val="nextTo"/>
        <c:crossAx val="15146048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6825770011964067"/>
          <c:y val="0.39772092968017037"/>
          <c:w val="0.1512554526090599"/>
          <c:h val="0.32145075474163032"/>
        </c:manualLayout>
      </c:layout>
      <c:overlay val="0"/>
    </c:legend>
    <c:plotVisOnly val="1"/>
    <c:dispBlanksAs val="gap"/>
    <c:showDLblsOverMax val="0"/>
  </c:chart>
  <c:spPr>
    <a:ln>
      <a:solidFill>
        <a:schemeClr val="tx1">
          <a:lumMod val="75000"/>
          <a:lumOff val="25000"/>
        </a:schemeClr>
      </a:solidFill>
    </a:ln>
    <a:effectLst>
      <a:outerShdw blurRad="50800" dist="38100" dir="2700000" algn="tl" rotWithShape="0">
        <a:prstClr val="black">
          <a:alpha val="40000"/>
        </a:prstClr>
      </a:outerShdw>
    </a:effectLst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39"/>
    </mc:Choice>
    <mc:Fallback>
      <c:style val="39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  <c:spPr>
        <a:noFill/>
      </c:spPr>
    </c:sideWall>
    <c:backWall>
      <c:thickness val="0"/>
      <c:spPr>
        <a:noFill/>
      </c:spPr>
    </c:backWall>
    <c:plotArea>
      <c:layout>
        <c:manualLayout>
          <c:layoutTarget val="inner"/>
          <c:xMode val="edge"/>
          <c:yMode val="edge"/>
          <c:x val="0.30905772213385996"/>
          <c:y val="0.17115622682432471"/>
          <c:w val="0.39279133272278877"/>
          <c:h val="0.75578443340539414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Feuil1!$F$9</c:f>
              <c:strCache>
                <c:ptCount val="1"/>
                <c:pt idx="0">
                  <c:v>Insatisfait</c:v>
                </c:pt>
              </c:strCache>
            </c:strRef>
          </c:tx>
          <c:spPr>
            <a:solidFill>
              <a:schemeClr val="accent5">
                <a:lumMod val="50000"/>
              </a:schemeClr>
            </a:solidFill>
          </c:spPr>
          <c:invertIfNegative val="0"/>
          <c:cat>
            <c:strRef>
              <c:f>Feuil1!$A$10:$A$16</c:f>
              <c:strCache>
                <c:ptCount val="7"/>
                <c:pt idx="0">
                  <c:v>Les affiches liées aux inscriptions </c:v>
                </c:pt>
                <c:pt idx="1">
                  <c:v>Accessibilité aux structures liées aux inscriptions</c:v>
                </c:pt>
                <c:pt idx="2">
                  <c:v>La qualité des services offerts</c:v>
                </c:pt>
                <c:pt idx="3">
                  <c:v>L'équipe de l'orientation</c:v>
                </c:pt>
                <c:pt idx="4">
                  <c:v>L’accès à internet </c:v>
                </c:pt>
                <c:pt idx="5">
                  <c:v>La qualité de l’accueil </c:v>
                </c:pt>
                <c:pt idx="6">
                  <c:v>Connaissance des devoirs et des droits </c:v>
                </c:pt>
              </c:strCache>
            </c:strRef>
          </c:cat>
          <c:val>
            <c:numRef>
              <c:f>Feuil1!$F$10:$F$16</c:f>
              <c:numCache>
                <c:formatCode>0</c:formatCode>
                <c:ptCount val="7"/>
                <c:pt idx="0">
                  <c:v>15</c:v>
                </c:pt>
                <c:pt idx="1">
                  <c:v>21.666666666666668</c:v>
                </c:pt>
                <c:pt idx="2">
                  <c:v>5.1724137931034484</c:v>
                </c:pt>
                <c:pt idx="3">
                  <c:v>1.6666666666666667</c:v>
                </c:pt>
                <c:pt idx="4">
                  <c:v>3.5087719298245612</c:v>
                </c:pt>
                <c:pt idx="5">
                  <c:v>6.8965517241379306</c:v>
                </c:pt>
                <c:pt idx="6">
                  <c:v>27.586206896551722</c:v>
                </c:pt>
              </c:numCache>
            </c:numRef>
          </c:val>
        </c:ser>
        <c:ser>
          <c:idx val="1"/>
          <c:order val="1"/>
          <c:tx>
            <c:strRef>
              <c:f>Feuil1!$G$9</c:f>
              <c:strCache>
                <c:ptCount val="1"/>
                <c:pt idx="0">
                  <c:v>Moyennement Satisfait</c:v>
                </c:pt>
              </c:strCache>
            </c:strRef>
          </c:tx>
          <c:invertIfNegative val="0"/>
          <c:cat>
            <c:strRef>
              <c:f>Feuil1!$A$10:$A$16</c:f>
              <c:strCache>
                <c:ptCount val="7"/>
                <c:pt idx="0">
                  <c:v>Les affiches liées aux inscriptions </c:v>
                </c:pt>
                <c:pt idx="1">
                  <c:v>Accessibilité aux structures liées aux inscriptions</c:v>
                </c:pt>
                <c:pt idx="2">
                  <c:v>La qualité des services offerts</c:v>
                </c:pt>
                <c:pt idx="3">
                  <c:v>L'équipe de l'orientation</c:v>
                </c:pt>
                <c:pt idx="4">
                  <c:v>L’accès à internet </c:v>
                </c:pt>
                <c:pt idx="5">
                  <c:v>La qualité de l’accueil </c:v>
                </c:pt>
                <c:pt idx="6">
                  <c:v>Connaissance des devoirs et des droits </c:v>
                </c:pt>
              </c:strCache>
            </c:strRef>
          </c:cat>
          <c:val>
            <c:numRef>
              <c:f>Feuil1!$G$10:$G$16</c:f>
              <c:numCache>
                <c:formatCode>0</c:formatCode>
                <c:ptCount val="7"/>
                <c:pt idx="0">
                  <c:v>11.666666666666666</c:v>
                </c:pt>
                <c:pt idx="1">
                  <c:v>15</c:v>
                </c:pt>
                <c:pt idx="2">
                  <c:v>3.4482758620689653</c:v>
                </c:pt>
                <c:pt idx="3">
                  <c:v>6.666666666666667</c:v>
                </c:pt>
                <c:pt idx="4">
                  <c:v>3.5087719298245612</c:v>
                </c:pt>
                <c:pt idx="5">
                  <c:v>6.8965517241379306</c:v>
                </c:pt>
                <c:pt idx="6">
                  <c:v>15.517241379310345</c:v>
                </c:pt>
              </c:numCache>
            </c:numRef>
          </c:val>
        </c:ser>
        <c:ser>
          <c:idx val="2"/>
          <c:order val="2"/>
          <c:tx>
            <c:strRef>
              <c:f>Feuil1!$H$9</c:f>
              <c:strCache>
                <c:ptCount val="1"/>
                <c:pt idx="0">
                  <c:v>Satisfait</c:v>
                </c:pt>
              </c:strCache>
            </c:strRef>
          </c:tx>
          <c:spPr>
            <a:solidFill>
              <a:schemeClr val="accent5">
                <a:lumMod val="20000"/>
                <a:lumOff val="80000"/>
              </a:schemeClr>
            </a:solidFill>
            <a:ln>
              <a:solidFill>
                <a:schemeClr val="accent5">
                  <a:lumMod val="60000"/>
                  <a:lumOff val="40000"/>
                </a:schemeClr>
              </a:solidFill>
            </a:ln>
          </c:spPr>
          <c:invertIfNegative val="0"/>
          <c:cat>
            <c:strRef>
              <c:f>Feuil1!$A$10:$A$16</c:f>
              <c:strCache>
                <c:ptCount val="7"/>
                <c:pt idx="0">
                  <c:v>Les affiches liées aux inscriptions </c:v>
                </c:pt>
                <c:pt idx="1">
                  <c:v>Accessibilité aux structures liées aux inscriptions</c:v>
                </c:pt>
                <c:pt idx="2">
                  <c:v>La qualité des services offerts</c:v>
                </c:pt>
                <c:pt idx="3">
                  <c:v>L'équipe de l'orientation</c:v>
                </c:pt>
                <c:pt idx="4">
                  <c:v>L’accès à internet </c:v>
                </c:pt>
                <c:pt idx="5">
                  <c:v>La qualité de l’accueil </c:v>
                </c:pt>
                <c:pt idx="6">
                  <c:v>Connaissance des devoirs et des droits </c:v>
                </c:pt>
              </c:strCache>
            </c:strRef>
          </c:cat>
          <c:val>
            <c:numRef>
              <c:f>Feuil1!$H$10:$H$16</c:f>
              <c:numCache>
                <c:formatCode>0</c:formatCode>
                <c:ptCount val="7"/>
                <c:pt idx="0">
                  <c:v>73.333333333333329</c:v>
                </c:pt>
                <c:pt idx="1">
                  <c:v>63.333333333333329</c:v>
                </c:pt>
                <c:pt idx="2">
                  <c:v>91.379310344827587</c:v>
                </c:pt>
                <c:pt idx="3">
                  <c:v>91.666666666666657</c:v>
                </c:pt>
                <c:pt idx="4">
                  <c:v>92.982456140350877</c:v>
                </c:pt>
                <c:pt idx="5">
                  <c:v>86.206896551724128</c:v>
                </c:pt>
                <c:pt idx="6">
                  <c:v>56.896551724137936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51484288"/>
        <c:axId val="151485824"/>
        <c:axId val="0"/>
      </c:bar3DChart>
      <c:catAx>
        <c:axId val="151484288"/>
        <c:scaling>
          <c:orientation val="minMax"/>
        </c:scaling>
        <c:delete val="0"/>
        <c:axPos val="l"/>
        <c:majorTickMark val="out"/>
        <c:minorTickMark val="none"/>
        <c:tickLblPos val="nextTo"/>
        <c:crossAx val="151485824"/>
        <c:crosses val="autoZero"/>
        <c:auto val="1"/>
        <c:lblAlgn val="ctr"/>
        <c:lblOffset val="100"/>
        <c:noMultiLvlLbl val="0"/>
      </c:catAx>
      <c:valAx>
        <c:axId val="151485824"/>
        <c:scaling>
          <c:orientation val="minMax"/>
        </c:scaling>
        <c:delete val="0"/>
        <c:axPos val="b"/>
        <c:majorGridlines/>
        <c:numFmt formatCode="0" sourceLinked="1"/>
        <c:majorTickMark val="out"/>
        <c:minorTickMark val="none"/>
        <c:tickLblPos val="nextTo"/>
        <c:crossAx val="15148428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3829571005941972"/>
          <c:y val="0.34578944298629333"/>
          <c:w val="0.15957798758038522"/>
          <c:h val="0.30832866724992747"/>
        </c:manualLayout>
      </c:layout>
      <c:overlay val="0"/>
    </c:legend>
    <c:plotVisOnly val="1"/>
    <c:dispBlanksAs val="gap"/>
    <c:showDLblsOverMax val="0"/>
  </c:chart>
  <c:spPr>
    <a:effectLst>
      <a:outerShdw blurRad="50800" dist="38100" dir="2700000" algn="tl" rotWithShape="0">
        <a:prstClr val="black">
          <a:alpha val="40000"/>
        </a:prstClr>
      </a:outerShdw>
    </a:effectLst>
  </c:spPr>
  <c:externalData r:id="rId1">
    <c:autoUpdate val="0"/>
  </c:externalData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freedy</dc:creator>
  <cp:lastModifiedBy>w7</cp:lastModifiedBy>
  <cp:revision>2</cp:revision>
  <dcterms:created xsi:type="dcterms:W3CDTF">2014-10-18T14:02:00Z</dcterms:created>
  <dcterms:modified xsi:type="dcterms:W3CDTF">2014-10-18T14:02:00Z</dcterms:modified>
</cp:coreProperties>
</file>